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sz w:val="32"/>
          <w:szCs w:val="36"/>
          <w:lang w:val="en-US" w:eastAsia="zh-CN"/>
        </w:rPr>
      </w:pPr>
      <w:r>
        <w:rPr>
          <w:rFonts w:eastAsia="黑体"/>
          <w:sz w:val="32"/>
          <w:szCs w:val="36"/>
        </w:rPr>
        <w:t>附件</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eastAsia="黑体"/>
          <w:sz w:val="44"/>
          <w:szCs w:val="48"/>
        </w:rPr>
      </w:pPr>
      <w:r>
        <w:rPr>
          <w:rFonts w:eastAsia="黑体"/>
          <w:sz w:val="44"/>
          <w:szCs w:val="48"/>
        </w:rPr>
        <w:t>20</w:t>
      </w:r>
      <w:r>
        <w:rPr>
          <w:rFonts w:hint="eastAsia" w:eastAsia="黑体"/>
          <w:sz w:val="44"/>
          <w:szCs w:val="48"/>
          <w:lang w:val="en-US" w:eastAsia="zh-CN"/>
        </w:rPr>
        <w:t>20</w:t>
      </w:r>
      <w:r>
        <w:rPr>
          <w:rFonts w:eastAsia="黑体"/>
          <w:sz w:val="44"/>
          <w:szCs w:val="48"/>
        </w:rPr>
        <w:t>年工业互联网试点示范项目</w:t>
      </w:r>
      <w:r>
        <w:rPr>
          <w:rFonts w:hint="eastAsia" w:eastAsia="黑体"/>
          <w:sz w:val="44"/>
          <w:szCs w:val="48"/>
          <w:lang w:eastAsia="zh-CN"/>
        </w:rPr>
        <w:t>公示</w:t>
      </w:r>
      <w:r>
        <w:rPr>
          <w:rFonts w:eastAsia="黑体"/>
          <w:sz w:val="44"/>
          <w:szCs w:val="48"/>
        </w:rPr>
        <w:t>名单</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eastAsia="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eastAsia="黑体"/>
          <w:sz w:val="32"/>
          <w:szCs w:val="32"/>
          <w:lang w:val="en-US" w:eastAsia="zh-CN"/>
        </w:rPr>
      </w:pPr>
      <w:r>
        <w:rPr>
          <w:rFonts w:hint="eastAsia" w:eastAsia="黑体"/>
          <w:sz w:val="32"/>
          <w:szCs w:val="32"/>
          <w:lang w:eastAsia="zh-CN"/>
        </w:rPr>
        <w:t>一、</w:t>
      </w:r>
      <w:r>
        <w:rPr>
          <w:rFonts w:hint="eastAsia" w:eastAsia="黑体"/>
          <w:sz w:val="32"/>
          <w:szCs w:val="32"/>
        </w:rPr>
        <w:t>网络化改造集成创新应用</w:t>
      </w:r>
      <w:bookmarkStart w:id="0" w:name="_GoBack"/>
      <w:bookmarkEnd w:id="0"/>
    </w:p>
    <w:tbl>
      <w:tblPr>
        <w:tblStyle w:val="5"/>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4224"/>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序号</w:t>
            </w:r>
          </w:p>
        </w:tc>
        <w:tc>
          <w:tcPr>
            <w:tcW w:w="4224"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项目名称</w:t>
            </w:r>
          </w:p>
        </w:tc>
        <w:tc>
          <w:tcPr>
            <w:tcW w:w="3980"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1</w:t>
            </w:r>
          </w:p>
        </w:tc>
        <w:tc>
          <w:tcPr>
            <w:tcW w:w="422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基于新型网络技术的中车株洲电力机车智能工厂网络建设项目</w:t>
            </w:r>
          </w:p>
        </w:tc>
        <w:tc>
          <w:tcPr>
            <w:tcW w:w="39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新华三技术有限公司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2</w:t>
            </w:r>
          </w:p>
        </w:tc>
        <w:tc>
          <w:tcPr>
            <w:tcW w:w="422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中航油生产专用建设项目</w:t>
            </w:r>
          </w:p>
        </w:tc>
        <w:tc>
          <w:tcPr>
            <w:tcW w:w="39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中国联合网络通信有限公司北京市分公司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3</w:t>
            </w:r>
          </w:p>
        </w:tc>
        <w:tc>
          <w:tcPr>
            <w:tcW w:w="422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5G+</w:t>
            </w:r>
            <w:r>
              <w:rPr>
                <w:rStyle w:val="10"/>
                <w:rFonts w:hint="default" w:ascii="Times New Roman" w:hAnsi="Times New Roman" w:eastAsia="仿宋_GB2312" w:cs="Times New Roman"/>
                <w:sz w:val="21"/>
                <w:szCs w:val="21"/>
                <w:lang w:val="en-US" w:eastAsia="zh-CN" w:bidi="ar"/>
              </w:rPr>
              <w:t>智能矿山</w:t>
            </w:r>
          </w:p>
        </w:tc>
        <w:tc>
          <w:tcPr>
            <w:tcW w:w="39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联通（山西）产业互联网有限公司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4</w:t>
            </w:r>
          </w:p>
        </w:tc>
        <w:tc>
          <w:tcPr>
            <w:tcW w:w="422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5G</w:t>
            </w:r>
            <w:r>
              <w:rPr>
                <w:rStyle w:val="10"/>
                <w:rFonts w:hint="default" w:ascii="Times New Roman" w:hAnsi="Times New Roman" w:eastAsia="仿宋_GB2312" w:cs="Times New Roman"/>
                <w:sz w:val="21"/>
                <w:szCs w:val="21"/>
                <w:lang w:val="en-US" w:eastAsia="zh-CN" w:bidi="ar"/>
              </w:rPr>
              <w:t>应用高精密线路板工业互联网试点示范</w:t>
            </w:r>
          </w:p>
        </w:tc>
        <w:tc>
          <w:tcPr>
            <w:tcW w:w="39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i w:val="0"/>
                <w:color w:val="000000"/>
                <w:kern w:val="0"/>
                <w:sz w:val="21"/>
                <w:szCs w:val="21"/>
                <w:u w:val="none"/>
                <w:lang w:val="en-US" w:eastAsia="zh-CN" w:bidi="ar"/>
              </w:rPr>
              <w:t>江西志浩电子科技有限公司</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eastAsia="黑体"/>
          <w:sz w:val="32"/>
          <w:szCs w:val="32"/>
          <w:lang w:eastAsia="zh-CN"/>
        </w:rPr>
      </w:pPr>
      <w:r>
        <w:rPr>
          <w:rFonts w:hint="eastAsia" w:eastAsia="黑体"/>
          <w:sz w:val="32"/>
          <w:szCs w:val="32"/>
          <w:lang w:eastAsia="zh-CN"/>
        </w:rPr>
        <w:t>二、</w:t>
      </w:r>
      <w:r>
        <w:rPr>
          <w:rFonts w:hint="eastAsia" w:eastAsia="黑体"/>
          <w:sz w:val="32"/>
          <w:szCs w:val="32"/>
        </w:rPr>
        <w:t>标识解析集成创新应用</w:t>
      </w:r>
    </w:p>
    <w:tbl>
      <w:tblPr>
        <w:tblStyle w:val="5"/>
        <w:tblW w:w="0" w:type="auto"/>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23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序号</w:t>
            </w:r>
          </w:p>
        </w:tc>
        <w:tc>
          <w:tcPr>
            <w:tcW w:w="4235"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项目名称</w:t>
            </w:r>
          </w:p>
        </w:tc>
        <w:tc>
          <w:tcPr>
            <w:tcW w:w="3969"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kern w:val="0"/>
                <w:sz w:val="21"/>
                <w:szCs w:val="21"/>
                <w:lang w:bidi="ar"/>
              </w:rPr>
              <w:t>1</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基于主动标识的移动集团物资一码到底全生命周期可视化方案</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中移物联网有限公司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kern w:val="0"/>
                <w:sz w:val="21"/>
                <w:szCs w:val="21"/>
                <w:lang w:bidi="ar"/>
              </w:rPr>
              <w:t>2</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工业互联网标识解析二级节点公共服务应用试点示范</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北京华信瑞德信息技术有限公司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kern w:val="0"/>
                <w:sz w:val="21"/>
                <w:szCs w:val="21"/>
                <w:lang w:bidi="ar"/>
              </w:rPr>
              <w:t>3</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物联网智能燃气表主动标识载体应用</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北京亚华意诺斯新能源科技有限公司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sz w:val="21"/>
                <w:szCs w:val="21"/>
              </w:rPr>
              <w:t>4</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基于工业互联网主动标识技术的柳州智能网联汽车基础设施协同应用项目</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柳州市东科智慧城市投资开发有限公司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5</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医药行业标识解析集成应用</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广州市香雪制药股份有限公司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bCs/>
                <w:color w:val="000000"/>
                <w:sz w:val="21"/>
                <w:szCs w:val="21"/>
              </w:rPr>
              <w:t>6</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工业互联网标识解析智能打码赋码解决方案</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陕西龙门钢铁有限责任公司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bCs/>
                <w:color w:val="000000"/>
                <w:sz w:val="21"/>
                <w:szCs w:val="21"/>
              </w:rPr>
              <w:t>7</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工业互联网标识解析综合型二级节点（江西联通）综合应用平台</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中国联合网络通信有限公司江西省分公司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bCs/>
                <w:color w:val="000000"/>
                <w:sz w:val="21"/>
                <w:szCs w:val="21"/>
              </w:rPr>
              <w:t>８</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工业互联网标识在长庆油田设备全生命周期管理上的创新应用</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中国石油天然气股份有限公司长庆油田公司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9</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中天光纤企业节点集成创新应用试点示范</w:t>
            </w:r>
            <w:r>
              <w:rPr>
                <w:rFonts w:hint="eastAsia" w:eastAsia="仿宋_GB2312" w:cs="Times New Roman"/>
                <w:i w:val="0"/>
                <w:color w:val="000000"/>
                <w:kern w:val="0"/>
                <w:sz w:val="21"/>
                <w:szCs w:val="21"/>
                <w:u w:val="none"/>
                <w:lang w:val="en-US" w:eastAsia="zh-CN" w:bidi="ar"/>
              </w:rPr>
              <w:t>项目</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中天科技光纤有限公司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10</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工业互联网标识解析二级节点（石化行业）应用服务平台</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陕西经达石化装备工程有限公司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0" w:type="dxa"/>
            <w:noWrap w:val="0"/>
            <w:vAlign w:val="center"/>
          </w:tcPr>
          <w:p>
            <w:pPr>
              <w:widowControl/>
              <w:jc w:val="center"/>
              <w:textAlignment w:val="center"/>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11</w:t>
            </w:r>
          </w:p>
        </w:tc>
        <w:tc>
          <w:tcPr>
            <w:tcW w:w="42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基于标识解析技术的特种设备全生命周期管理平台</w:t>
            </w:r>
          </w:p>
        </w:tc>
        <w:tc>
          <w:tcPr>
            <w:tcW w:w="39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浙江网标物联有限公司</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eastAsia="黑体"/>
          <w:b/>
          <w:color w:val="000000"/>
          <w:kern w:val="0"/>
          <w:sz w:val="24"/>
          <w:lang w:eastAsia="zh-CN" w:bidi="ar"/>
        </w:rPr>
      </w:pPr>
      <w:r>
        <w:rPr>
          <w:rFonts w:hint="eastAsia" w:eastAsia="黑体"/>
          <w:sz w:val="32"/>
          <w:szCs w:val="32"/>
          <w:lang w:eastAsia="zh-CN"/>
        </w:rPr>
        <w:t>三、</w:t>
      </w:r>
      <w:r>
        <w:rPr>
          <w:rFonts w:hint="eastAsia" w:eastAsia="黑体"/>
          <w:sz w:val="32"/>
          <w:szCs w:val="32"/>
        </w:rPr>
        <w:t>“5G+工业互联网”内网改造集成创新应用</w:t>
      </w:r>
    </w:p>
    <w:tbl>
      <w:tblPr>
        <w:tblStyle w:val="5"/>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096"/>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序号</w:t>
            </w:r>
          </w:p>
        </w:tc>
        <w:tc>
          <w:tcPr>
            <w:tcW w:w="4096"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项目名称</w:t>
            </w:r>
          </w:p>
        </w:tc>
        <w:tc>
          <w:tcPr>
            <w:tcW w:w="4050"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1</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山河智能内网改造及</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产品应用</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山河智能装备股份有限公司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2</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5G+工业互联网在机械智能制造领域的应用</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三一重工股份有限公司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3</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矿用高可靠</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专网系统及应用</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山东能源集团有限公司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4</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基于</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工业互联网</w:t>
            </w:r>
            <w:r>
              <w:rPr>
                <w:rStyle w:val="9"/>
                <w:rFonts w:hint="default" w:ascii="Times New Roman" w:hAnsi="Times New Roman" w:eastAsia="仿宋_GB2312" w:cs="Times New Roman"/>
                <w:sz w:val="21"/>
                <w:szCs w:val="21"/>
                <w:lang w:val="en-US" w:eastAsia="zh-CN" w:bidi="ar"/>
              </w:rPr>
              <w:t>”</w:t>
            </w:r>
            <w:r>
              <w:rPr>
                <w:rStyle w:val="8"/>
                <w:rFonts w:hint="default" w:ascii="Times New Roman" w:hAnsi="Times New Roman" w:eastAsia="仿宋_GB2312" w:cs="Times New Roman"/>
                <w:sz w:val="21"/>
                <w:szCs w:val="21"/>
                <w:lang w:val="en-US" w:eastAsia="zh-CN" w:bidi="ar"/>
              </w:rPr>
              <w:t>的无忧智能工厂项目</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鸿富锦精密电子（成都）有限公司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5</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东方电气</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能源装备工业互联网创新试点示范</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东方电气集团科学技术研究院有限公司、东方电气股份有限公司、中国移动通信集团四川有限公司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6</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汽车零配件数字化工厂</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建设试点示范项目</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爱柯迪股份有限公司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7</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金属家具行业基于</w:t>
            </w:r>
            <w:r>
              <w:rPr>
                <w:rStyle w:val="9"/>
                <w:rFonts w:hint="default" w:ascii="Times New Roman" w:hAnsi="Times New Roman" w:eastAsia="仿宋_GB2312" w:cs="Times New Roman"/>
                <w:sz w:val="21"/>
                <w:szCs w:val="21"/>
                <w:lang w:val="en-US" w:eastAsia="zh-CN" w:bidi="ar"/>
              </w:rPr>
              <w:t>5G+PON</w:t>
            </w:r>
            <w:r>
              <w:rPr>
                <w:rStyle w:val="8"/>
                <w:rFonts w:hint="default" w:ascii="Times New Roman" w:hAnsi="Times New Roman" w:eastAsia="仿宋_GB2312" w:cs="Times New Roman"/>
                <w:sz w:val="21"/>
                <w:szCs w:val="21"/>
                <w:lang w:val="en-US" w:eastAsia="zh-CN" w:bidi="ar"/>
              </w:rPr>
              <w:t>网络的云网一体化工业互联网样板工厂</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江西金虎保险设备集团有限公司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8</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九牧永春智慧制造产业园项目（一期）</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福建良瓷科技有限公司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9</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华菱湘钢</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智慧工厂项目</w:t>
            </w:r>
            <w:r>
              <w:rPr>
                <w:rStyle w:val="9"/>
                <w:rFonts w:hint="default" w:ascii="Times New Roman" w:hAnsi="Times New Roman" w:eastAsia="仿宋_GB2312" w:cs="Times New Roman"/>
                <w:sz w:val="21"/>
                <w:szCs w:val="21"/>
                <w:lang w:val="en-US" w:eastAsia="zh-CN" w:bidi="ar"/>
              </w:rPr>
              <w:t xml:space="preserve">   </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中国移动通信集团湖南有限公司湘潭分公司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10</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天津空客</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智慧工程项目</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空中客车（天津）总装有限公司、中国移动通信集团天津有限公司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11</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雅戈尔</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智能工厂</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i w:val="0"/>
                <w:color w:val="000000"/>
                <w:kern w:val="0"/>
                <w:sz w:val="21"/>
                <w:szCs w:val="21"/>
                <w:u w:val="none"/>
                <w:lang w:val="en-US" w:eastAsia="zh-CN" w:bidi="ar"/>
              </w:rPr>
              <w:t>雅戈尔服装制造有限公司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12</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5G</w:t>
            </w:r>
            <w:r>
              <w:rPr>
                <w:rStyle w:val="8"/>
                <w:rFonts w:hint="default" w:ascii="Times New Roman" w:hAnsi="Times New Roman" w:eastAsia="仿宋_GB2312" w:cs="Times New Roman"/>
                <w:sz w:val="21"/>
                <w:szCs w:val="21"/>
                <w:lang w:val="en-US" w:eastAsia="zh-CN" w:bidi="ar"/>
              </w:rPr>
              <w:t>智慧电网</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中国电信股份有限公司青岛分公司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13</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陕西中兴西安终端工厂</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智能制造创新应用项目</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中国移动通信集团陕西有限公司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14</w:t>
            </w:r>
          </w:p>
        </w:tc>
        <w:tc>
          <w:tcPr>
            <w:tcW w:w="409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亨通光电</w:t>
            </w:r>
            <w:r>
              <w:rPr>
                <w:rStyle w:val="9"/>
                <w:rFonts w:hint="default" w:ascii="Times New Roman" w:hAnsi="Times New Roman" w:eastAsia="仿宋_GB2312" w:cs="Times New Roman"/>
                <w:sz w:val="21"/>
                <w:szCs w:val="21"/>
                <w:lang w:val="en-US" w:eastAsia="zh-CN" w:bidi="ar"/>
              </w:rPr>
              <w:t>“5G+</w:t>
            </w:r>
            <w:r>
              <w:rPr>
                <w:rStyle w:val="8"/>
                <w:rFonts w:hint="default" w:ascii="Times New Roman" w:hAnsi="Times New Roman" w:eastAsia="仿宋_GB2312" w:cs="Times New Roman"/>
                <w:sz w:val="21"/>
                <w:szCs w:val="21"/>
                <w:lang w:val="en-US" w:eastAsia="zh-CN" w:bidi="ar"/>
              </w:rPr>
              <w:t>工业互联网</w:t>
            </w:r>
            <w:r>
              <w:rPr>
                <w:rStyle w:val="9"/>
                <w:rFonts w:hint="default" w:ascii="Times New Roman" w:hAnsi="Times New Roman" w:eastAsia="仿宋_GB2312" w:cs="Times New Roman"/>
                <w:sz w:val="21"/>
                <w:szCs w:val="21"/>
                <w:lang w:val="en-US" w:eastAsia="zh-CN" w:bidi="ar"/>
              </w:rPr>
              <w:t>”</w:t>
            </w:r>
            <w:r>
              <w:rPr>
                <w:rStyle w:val="8"/>
                <w:rFonts w:hint="default" w:ascii="Times New Roman" w:hAnsi="Times New Roman" w:eastAsia="仿宋_GB2312" w:cs="Times New Roman"/>
                <w:sz w:val="21"/>
                <w:szCs w:val="21"/>
                <w:lang w:val="en-US" w:eastAsia="zh-CN" w:bidi="ar"/>
              </w:rPr>
              <w:t>智慧园区项目</w:t>
            </w:r>
          </w:p>
        </w:tc>
        <w:tc>
          <w:tcPr>
            <w:tcW w:w="405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1"/>
                <w:szCs w:val="21"/>
                <w:u w:val="none"/>
                <w:lang w:val="en-US" w:eastAsia="zh-CN" w:bidi="ar"/>
              </w:rPr>
              <w:t>江苏亨通光电股份有限公司</w:t>
            </w:r>
          </w:p>
        </w:tc>
      </w:tr>
    </w:tbl>
    <w:p>
      <w:pPr>
        <w:snapToGrid w:val="0"/>
        <w:spacing w:line="360" w:lineRule="auto"/>
        <w:jc w:val="left"/>
        <w:rPr>
          <w:b/>
          <w:color w:val="000000"/>
          <w:kern w:val="0"/>
          <w:sz w:val="24"/>
          <w:lang w:bidi="ar"/>
        </w:rPr>
      </w:pPr>
      <w:r>
        <w:rPr>
          <w:b/>
          <w:color w:val="000000"/>
          <w:kern w:val="0"/>
          <w:sz w:val="24"/>
          <w:lang w:bidi="ar"/>
        </w:rPr>
        <w:br w:type="page"/>
      </w:r>
      <w:r>
        <w:rPr>
          <w:rFonts w:hint="eastAsia" w:eastAsia="黑体"/>
          <w:sz w:val="32"/>
          <w:szCs w:val="32"/>
          <w:lang w:eastAsia="zh-CN"/>
        </w:rPr>
        <w:t>四、平台集成创新应用</w:t>
      </w:r>
    </w:p>
    <w:tbl>
      <w:tblPr>
        <w:tblStyle w:val="5"/>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8"/>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序号</w:t>
            </w:r>
          </w:p>
        </w:tc>
        <w:tc>
          <w:tcPr>
            <w:tcW w:w="4188"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项目名称</w:t>
            </w:r>
          </w:p>
        </w:tc>
        <w:tc>
          <w:tcPr>
            <w:tcW w:w="3958" w:type="dxa"/>
            <w:noWrap w:val="0"/>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kern w:val="0"/>
                <w:sz w:val="21"/>
                <w:szCs w:val="21"/>
                <w:lang w:bidi="ar"/>
              </w:rPr>
              <w:t>1</w:t>
            </w:r>
          </w:p>
        </w:tc>
        <w:tc>
          <w:tcPr>
            <w:tcW w:w="418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基于“5G+AI+VR”水环境智慧化监管解决方案</w:t>
            </w:r>
          </w:p>
        </w:tc>
        <w:tc>
          <w:tcPr>
            <w:tcW w:w="395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力合科技（湖南）股份有限公司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color w:val="000000"/>
                <w:kern w:val="0"/>
                <w:sz w:val="21"/>
                <w:szCs w:val="21"/>
                <w:lang w:bidi="ar"/>
              </w:rPr>
              <w:t>2</w:t>
            </w:r>
          </w:p>
        </w:tc>
        <w:tc>
          <w:tcPr>
            <w:tcW w:w="418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新一代信息技术赋能XJEPE工业互联网平台解决方案</w:t>
            </w:r>
          </w:p>
        </w:tc>
        <w:tc>
          <w:tcPr>
            <w:tcW w:w="395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河南许继仪表有限公司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3</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陕鼓5G+透平装备智能运维工业互联网平台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西安陕鼓动力股份有限公司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4</w:t>
            </w:r>
          </w:p>
        </w:tc>
        <w:tc>
          <w:tcPr>
            <w:tcW w:w="418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面向轨道交通行业的工业互联网融合创新平台解决方案</w:t>
            </w:r>
          </w:p>
        </w:tc>
        <w:tc>
          <w:tcPr>
            <w:tcW w:w="395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广州新科佳都科技有限公司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5</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基于工业互联网的运营管理数字化解决方案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江苏金恒信息科技股份有限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6</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基于工业互联网的汽车生产线智能维护数据应用平台解决方案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北京奔驰汽车有限公司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7</w:t>
            </w:r>
          </w:p>
        </w:tc>
        <w:tc>
          <w:tcPr>
            <w:tcW w:w="418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电力系统远程安全诊疗预警服务创新应用示范平台</w:t>
            </w:r>
          </w:p>
        </w:tc>
        <w:tc>
          <w:tcPr>
            <w:tcW w:w="3958" w:type="dxa"/>
            <w:noWrap w:val="0"/>
            <w:vAlign w:val="center"/>
          </w:tcPr>
          <w:p>
            <w:pPr>
              <w:widowControl/>
              <w:jc w:val="center"/>
              <w:rPr>
                <w:rFonts w:hint="default" w:ascii="Times New Roman" w:hAnsi="Times New Roman" w:eastAsia="仿宋_GB2312" w:cs="Times New Roman"/>
                <w:b/>
                <w:color w:val="000000"/>
                <w:kern w:val="0"/>
                <w:sz w:val="21"/>
                <w:szCs w:val="21"/>
                <w:lang w:bidi="ar"/>
              </w:rPr>
            </w:pPr>
            <w:r>
              <w:rPr>
                <w:rFonts w:hint="default" w:ascii="Times New Roman" w:hAnsi="Times New Roman" w:eastAsia="仿宋_GB2312" w:cs="Times New Roman"/>
                <w:kern w:val="0"/>
                <w:sz w:val="21"/>
                <w:szCs w:val="21"/>
              </w:rPr>
              <w:t>宁夏凯晨电气集团有限公司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8</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基于工业互联网平台的企业全业务场景协同解决方案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金蝶软件（中国）有限公司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9</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面向电子信息行业的工业互联网平台融合创新解决方案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贵州航天云网科技有限公司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10</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 T+3&amp;C2M模式创新应用解决方案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rPr>
              <w:t>合肥美的洗衣机有限公司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11</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基于PTDCloud平台供应链产业链实时响应协同优化解决方案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北京国联视讯信息技术股份有限公司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widowControl/>
              <w:jc w:val="center"/>
              <w:textAlignment w:val="center"/>
              <w:rPr>
                <w:rFonts w:hint="default" w:ascii="Times New Roman" w:hAnsi="Times New Roman" w:eastAsia="仿宋_GB2312" w:cs="Times New Roman"/>
                <w:bCs/>
                <w:color w:val="000000"/>
                <w:kern w:val="0"/>
                <w:sz w:val="21"/>
                <w:szCs w:val="21"/>
                <w:lang w:bidi="ar"/>
              </w:rPr>
            </w:pPr>
            <w:r>
              <w:rPr>
                <w:rFonts w:hint="default" w:ascii="Times New Roman" w:hAnsi="Times New Roman" w:eastAsia="仿宋_GB2312" w:cs="Times New Roman"/>
                <w:bCs/>
                <w:color w:val="000000"/>
                <w:kern w:val="0"/>
                <w:sz w:val="21"/>
                <w:szCs w:val="21"/>
                <w:lang w:bidi="ar"/>
              </w:rPr>
              <w:t>12</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基于工业互联网平台的金盘科技海口高端干式变压器数字化工厂解决方案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rPr>
              <w:t>海南金盘智能科技股份有限公司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智能化泵站大数据中心平台示范项目</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昆明嘉和科技股份有限公司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基于工业互联网的数智鄂钢建设</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宝武集团鄂城钢铁有限公司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面向数字工厂的iMIS协同制造系统示范</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南京科远智慧科技集团股份有限公司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大信家居工业物联网项目</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郑州大信家居有限公司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基于工业互联网平台的纺织行业链数字化解决方案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广州致景信息科技有限公司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基于工业互联网平台的高端无线智能蓝牙耳机生产建设项目</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江西立讯智造有限公司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水泥企业智能制造集成平台创新项目</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华新水泥股份有限公司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模具工业互联网平台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宁波创元信息科技有限公司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pStyle w:val="2"/>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基于工业互联网的高强度紧固件智能制造工厂</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湖南飞沃新能源科技股份有限公司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智能计量仪表工业互联网平台建设及应用</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新天科技股份有限公司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5G+锅炉云服务平台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方快锅炉有限公司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基于蓝思工业互联网云平台的系统集成创新应用解决方案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蓝思科技股份有限公司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基于工业互联网平台的用能管理项目</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苏文电能科技股份有限公司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基于中服工业互联网的工业装备测试试验平台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西安中服软件有限公司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盾构工程施工服务工业互联网平台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中铁工程服务有限公司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28</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天润智能制造工业互联网平台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天润工业技术股份有限公司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紫光工业互联网平台典型场景解决方案试点试范</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紫光云引擎科技（苏州）有限公司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SMT稳健质量工业互联网解决方案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中电凯杰科技有限公司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31</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基于新油智云工业互联网平台的新疆油田新型作业区创新应用</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新疆石油管理局有限公司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32</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面向智慧能源的雪浪云工业互联网创新解决方案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无锡雪浪数制科技有限公司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33</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宁夏冶金行业工业互联网赋能与公共服务平台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宁夏思睿能源管理科技有限公司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34</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捷创5G+MOM平台的应用与实践</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宁波捷创技术股份有限公司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35</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能源工业互联网平台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rPr>
              <w:t>辽宁电力能源发展集团有限公司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36</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面向高端数控铣床的车间级工业互联网平台解决方案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西安精雕软件科技有限公司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37</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基于工业互联网的空调智控云平台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厦门奥普拓自控科技有限公司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38</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“峰云”分布式激光加工设备平台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济南森峰科技有限公司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39</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基于工业互联网的设备运维及工艺管理云平台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广州瑞松智能科技股份有限公司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40</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基于工业互联网平台的地下高端装备智造施工服务解决方案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中国铁建重工集团股份有限公司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41</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基于工业互联网架构的全国危险化学品安全生产风险监测预警系统</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应急管理部化学品登记中心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42</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首安云安全生产双重预防控制系统</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北京首钢自动化信息技术有限公司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43</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HCC汇川工程云应用平台及解决方案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福建汇川物联网技术科技股份有限公司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44</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基于矿山安全云的安全生产风险监测预警平台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山东精诚电子科技有限公司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45</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企业级工业互联网平台智慧防灾减灾服务系统</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南方电网数字电网研究院有限公司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46</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基于工业互联网平台的智慧电厂安全生产解决方案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重庆市科源能源技术发展有限公司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47</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化工行业安全生产管控工业互联网平台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万华化学集团股份有限公司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48</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煤矿安全生产风险监测预警工业互联网平台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应急管理部信息研究院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49</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船舶制造厂域安全管控工业互联网解决方案</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中国船舶工业集团公司第十一研究所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noWrap w:val="0"/>
            <w:vAlign w:val="center"/>
          </w:tcPr>
          <w:p>
            <w:pPr>
              <w:spacing w:line="360" w:lineRule="auto"/>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50</w:t>
            </w:r>
          </w:p>
        </w:tc>
        <w:tc>
          <w:tcPr>
            <w:tcW w:w="418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煤矿安全生产工业互联网平台</w:t>
            </w:r>
          </w:p>
        </w:tc>
        <w:tc>
          <w:tcPr>
            <w:tcW w:w="3958" w:type="dxa"/>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精英数智科技股份有限公司</w:t>
            </w:r>
          </w:p>
        </w:tc>
      </w:tr>
    </w:tbl>
    <w:p>
      <w:pPr>
        <w:keepNext w:val="0"/>
        <w:keepLines w:val="0"/>
        <w:pageBreakBefore w:val="0"/>
        <w:widowControl/>
        <w:numPr>
          <w:ilvl w:val="0"/>
          <w:numId w:val="1"/>
        </w:numPr>
        <w:kinsoku/>
        <w:wordWrap/>
        <w:overflowPunct/>
        <w:topLinePunct w:val="0"/>
        <w:autoSpaceDE/>
        <w:autoSpaceDN/>
        <w:bidi w:val="0"/>
        <w:adjustRightInd/>
        <w:snapToGrid/>
        <w:jc w:val="both"/>
        <w:textAlignment w:val="auto"/>
        <w:outlineLvl w:val="9"/>
        <w:rPr>
          <w:rFonts w:hint="eastAsia" w:eastAsia="黑体"/>
          <w:sz w:val="32"/>
          <w:szCs w:val="32"/>
          <w:lang w:eastAsia="zh-CN"/>
        </w:rPr>
      </w:pPr>
      <w:r>
        <w:rPr>
          <w:rFonts w:hint="eastAsia" w:eastAsia="黑体"/>
          <w:sz w:val="32"/>
          <w:szCs w:val="32"/>
        </w:rPr>
        <w:t>安全集成创新应用</w:t>
      </w:r>
    </w:p>
    <w:p>
      <w:pPr>
        <w:pStyle w:val="2"/>
        <w:numPr>
          <w:ilvl w:val="0"/>
          <w:numId w:val="0"/>
        </w:numPr>
        <w:ind w:firstLine="560" w:firstLineChars="200"/>
        <w:jc w:val="both"/>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本次工业互联网</w:t>
      </w:r>
      <w:r>
        <w:rPr>
          <w:rFonts w:hint="eastAsia" w:ascii="仿宋_GB2312" w:hAnsi="仿宋_GB2312" w:eastAsia="仿宋_GB2312" w:cs="仿宋_GB2312"/>
          <w:sz w:val="28"/>
          <w:szCs w:val="36"/>
        </w:rPr>
        <w:t>安全集成创新应用</w:t>
      </w:r>
      <w:r>
        <w:rPr>
          <w:rFonts w:hint="eastAsia" w:ascii="仿宋_GB2312" w:hAnsi="仿宋_GB2312" w:eastAsia="仿宋_GB2312" w:cs="仿宋_GB2312"/>
          <w:sz w:val="28"/>
          <w:szCs w:val="36"/>
          <w:lang w:eastAsia="zh-CN"/>
        </w:rPr>
        <w:t>方向试点示范</w:t>
      </w:r>
      <w:r>
        <w:rPr>
          <w:rFonts w:hint="eastAsia" w:ascii="仿宋_GB2312" w:hAnsi="仿宋_GB2312" w:eastAsia="仿宋_GB2312" w:cs="仿宋_GB2312"/>
          <w:sz w:val="28"/>
          <w:szCs w:val="36"/>
        </w:rPr>
        <w:t>已通过2020年网络安全技术应用试点示范</w:t>
      </w:r>
      <w:r>
        <w:rPr>
          <w:rFonts w:hint="eastAsia" w:ascii="仿宋_GB2312" w:hAnsi="仿宋_GB2312" w:eastAsia="仿宋_GB2312" w:cs="仿宋_GB2312"/>
          <w:sz w:val="28"/>
          <w:szCs w:val="36"/>
          <w:lang w:eastAsia="zh-CN"/>
        </w:rPr>
        <w:t>予以</w:t>
      </w:r>
      <w:r>
        <w:rPr>
          <w:rFonts w:hint="eastAsia" w:ascii="仿宋_GB2312" w:hAnsi="仿宋_GB2312" w:eastAsia="仿宋_GB2312" w:cs="仿宋_GB2312"/>
          <w:sz w:val="28"/>
          <w:szCs w:val="36"/>
        </w:rPr>
        <w:t>遴选</w:t>
      </w:r>
      <w:r>
        <w:rPr>
          <w:rFonts w:hint="eastAsia" w:ascii="仿宋_GB2312" w:hAnsi="仿宋_GB2312" w:eastAsia="仿宋_GB2312" w:cs="仿宋_GB2312"/>
          <w:sz w:val="28"/>
          <w:szCs w:val="36"/>
          <w:lang w:eastAsia="zh-CN"/>
        </w:rPr>
        <w:t>，并已完成公示。</w:t>
      </w:r>
    </w:p>
    <w:sectPr>
      <w:footerReference r:id="rId3" w:type="default"/>
      <w:pgSz w:w="11906" w:h="16838"/>
      <w:pgMar w:top="1383" w:right="1800" w:bottom="1157" w:left="1800"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E7006EFF" w:usb1="D200FDFF" w:usb2="0A246029" w:usb3="0400200C" w:csb0="600001FF" w:csb1="D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lang/>
                            </w:rPr>
                            <w:t>1</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lang/>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6EE0E"/>
    <w:multiLevelType w:val="singleLevel"/>
    <w:tmpl w:val="7DE6EE0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DEEBF"/>
    <w:rsid w:val="006219F1"/>
    <w:rsid w:val="00B24EAD"/>
    <w:rsid w:val="00BA1543"/>
    <w:rsid w:val="1FEB8700"/>
    <w:rsid w:val="274FC0D6"/>
    <w:rsid w:val="28744DC2"/>
    <w:rsid w:val="29FF5268"/>
    <w:rsid w:val="2E5702C9"/>
    <w:rsid w:val="2F3067A2"/>
    <w:rsid w:val="38AFFB59"/>
    <w:rsid w:val="3BFFF2EC"/>
    <w:rsid w:val="3E1B60D6"/>
    <w:rsid w:val="3F5D2192"/>
    <w:rsid w:val="3F67FB67"/>
    <w:rsid w:val="3FFF6DFF"/>
    <w:rsid w:val="66F717B5"/>
    <w:rsid w:val="66FDFD31"/>
    <w:rsid w:val="67A33C20"/>
    <w:rsid w:val="6EFF9A4F"/>
    <w:rsid w:val="769B853A"/>
    <w:rsid w:val="77FBA44D"/>
    <w:rsid w:val="7B7FAB3E"/>
    <w:rsid w:val="7BBD42B5"/>
    <w:rsid w:val="7DFEEA3A"/>
    <w:rsid w:val="7F3C58B5"/>
    <w:rsid w:val="7FAFE5AC"/>
    <w:rsid w:val="7FE523B8"/>
    <w:rsid w:val="7FF7A73D"/>
    <w:rsid w:val="7FFCEEF6"/>
    <w:rsid w:val="97EFD5ED"/>
    <w:rsid w:val="ABF6DD46"/>
    <w:rsid w:val="B85DD342"/>
    <w:rsid w:val="B9BFF9FD"/>
    <w:rsid w:val="BA3D5443"/>
    <w:rsid w:val="BBD78C61"/>
    <w:rsid w:val="BC7C645D"/>
    <w:rsid w:val="BDEF0136"/>
    <w:rsid w:val="BF77CEF6"/>
    <w:rsid w:val="BFFA0D4B"/>
    <w:rsid w:val="C75F05A3"/>
    <w:rsid w:val="CFD33DB7"/>
    <w:rsid w:val="CFFBDC6C"/>
    <w:rsid w:val="D7CF2C3D"/>
    <w:rsid w:val="D7DF6E79"/>
    <w:rsid w:val="D7EC269F"/>
    <w:rsid w:val="DADD62AC"/>
    <w:rsid w:val="DDEFE1CA"/>
    <w:rsid w:val="E6F76A5A"/>
    <w:rsid w:val="E7DE77FA"/>
    <w:rsid w:val="EBEE5282"/>
    <w:rsid w:val="EDE9A406"/>
    <w:rsid w:val="EE5FFC10"/>
    <w:rsid w:val="EE7D95EE"/>
    <w:rsid w:val="EF3F856E"/>
    <w:rsid w:val="EFCACDF8"/>
    <w:rsid w:val="EFDF046E"/>
    <w:rsid w:val="F3672D20"/>
    <w:rsid w:val="F7EDEEBF"/>
    <w:rsid w:val="FD6D2426"/>
    <w:rsid w:val="FDCF925E"/>
    <w:rsid w:val="FEBF8DFC"/>
    <w:rsid w:val="FEEA5B94"/>
    <w:rsid w:val="FFDF93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uiPriority w:val="0"/>
    <w:rPr>
      <w:rFonts w:hint="eastAsia" w:ascii="宋体" w:hAnsi="宋体" w:eastAsia="宋体" w:cs="宋体"/>
      <w:color w:val="000000"/>
      <w:sz w:val="18"/>
      <w:szCs w:val="18"/>
      <w:u w:val="none"/>
    </w:rPr>
  </w:style>
  <w:style w:type="character" w:customStyle="1" w:styleId="9">
    <w:name w:val="font21"/>
    <w:basedOn w:val="7"/>
    <w:uiPriority w:val="0"/>
    <w:rPr>
      <w:rFonts w:hint="default" w:ascii="Times New Roman" w:hAnsi="Times New Roman" w:cs="Times New Roman"/>
      <w:color w:val="000000"/>
      <w:sz w:val="18"/>
      <w:szCs w:val="18"/>
      <w:u w:val="none"/>
    </w:rPr>
  </w:style>
  <w:style w:type="character" w:customStyle="1" w:styleId="10">
    <w:name w:val="font1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705</Words>
  <Characters>4025</Characters>
  <Lines>33</Lines>
  <Paragraphs>9</Paragraphs>
  <TotalTime>19</TotalTime>
  <ScaleCrop>false</ScaleCrop>
  <LinksUpToDate>false</LinksUpToDate>
  <CharactersWithSpaces>4721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2018-03-22T22:29:00Z</dcterms:created>
  <dc:creator>kylin</dc:creator>
  <cp:lastModifiedBy>高腾Cynthia GAO</cp:lastModifiedBy>
  <cp:lastPrinted>2018-11-20T02:12:00Z</cp:lastPrinted>
  <dcterms:modified xsi:type="dcterms:W3CDTF">2020-12-28T08:33:45Z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