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kern w:val="0"/>
          <w:sz w:val="30"/>
          <w:szCs w:val="30"/>
          <w:lang w:val="en-US" w:eastAsia="zh-CN" w:bidi="ar"/>
        </w:rPr>
        <w:t>广西推进工</w:t>
      </w:r>
      <w:bookmarkStart w:id="0" w:name="_GoBack"/>
      <w:bookmarkEnd w:id="0"/>
      <w:r>
        <w:rPr>
          <w:rFonts w:hint="eastAsia" w:ascii="仿宋_GB2312" w:hAnsi="仿宋_GB2312" w:eastAsia="仿宋_GB2312" w:cs="仿宋_GB2312"/>
          <w:color w:val="auto"/>
          <w:kern w:val="0"/>
          <w:sz w:val="30"/>
          <w:szCs w:val="30"/>
          <w:lang w:val="en-US" w:eastAsia="zh-CN" w:bidi="ar"/>
        </w:rPr>
        <w:t>业互联网标识解析体系建设工作实施方案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工业互联网标识解析（以下简称“标识解析”）体系是工业互联网网络架构的重要组成部分，是维护工业互联网稳定运行的重要基础设施、关键支撑和核心服务。为贯彻落实党中央、国务院关于工业互联网创新发展战略，落实《广西实施制造业数字化转型行动方案》，推进标识解析体系建设，推动制造业企业数字化转型，制定本方案。</w:t>
      </w:r>
    </w:p>
    <w:p>
      <w:pPr>
        <w:keepNext w:val="0"/>
        <w:keepLines w:val="0"/>
        <w:widowControl/>
        <w:suppressLineNumbers w:val="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15"/>
          <w:kern w:val="0"/>
          <w:sz w:val="30"/>
          <w:szCs w:val="30"/>
          <w:lang w:val="en-US" w:eastAsia="zh-CN" w:bidi="ar"/>
        </w:rPr>
        <w:t>一、发展目标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力争到2025年，建设30个以上标识解析二级节点（以下简称二级节点），其中南宁、柳州市建设3个以上二级节点，其他设区市建设2个以上二级节点。建立起功能完善、设施先进的标识解析体系，标识解析在重点行业、重点企业中全面深度应用，形成标识解析应用和产业发展创新引领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推动1万家以上企业开展标识解析应用，培育200个以上标识解析应用场景。标识注册量超过100亿个，二级节点日均标识解析量达到0.2亿次/天，企业上云用云、应用标识的意识和能力进一步提升，企业数字化转型取得一定成效。</w:t>
      </w:r>
    </w:p>
    <w:p>
      <w:pPr>
        <w:keepNext w:val="0"/>
        <w:keepLines w:val="0"/>
        <w:widowControl/>
        <w:suppressLineNumbers w:val="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15"/>
          <w:kern w:val="0"/>
          <w:sz w:val="30"/>
          <w:szCs w:val="30"/>
          <w:lang w:val="en-US" w:eastAsia="zh-CN" w:bidi="ar"/>
        </w:rPr>
        <w:t>二、实施路径</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以二级节点建设为牵引，能力建设与应用发展同步推动，逐步形成示范效应、规模效应和全国影响力。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统筹布局，协同推进。结合广西工业和信息化发展实际，充分发挥政府引导作用，统筹布局标识解析体系建设和政策支持，协同产业各方力量推进标识解析体系发展。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重点突破，示范引领。选择重点行业，依托骨干企业，推进二级节点建设。同步推动标识解析体系在生产企业及产业链上中下游的应用，以点带面，逐步探索形成具有复制性的成功模式和经验。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引培结合，开放合作。积极引进标识解析平台建设方、应用服务商，培育本地标识解析服务商和标识解析应用企业，加大人才培养力度，深化产学研用协作，打造标识解析生态体系。</w:t>
      </w:r>
    </w:p>
    <w:p>
      <w:pPr>
        <w:keepNext w:val="0"/>
        <w:keepLines w:val="0"/>
        <w:widowControl/>
        <w:suppressLineNumbers w:val="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15"/>
          <w:kern w:val="0"/>
          <w:sz w:val="30"/>
          <w:szCs w:val="30"/>
          <w:lang w:val="en-US" w:eastAsia="zh-CN" w:bidi="ar"/>
        </w:rPr>
        <w:t>三、重点任务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（一）加快标识解析基础设施布局。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引进标识解析企业、研究机构等，与广西本地工业企业合作，打造标识解析服务和集成能力，培育标识解析服务集成商。推动标识解析服务商搭建标识解析公共服务平台，形成技术标准咨询、节点管理、产业分析等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1.行业节点布局。行业二级节点基本覆盖绿色化工新材料、电子信息、机械装备制造、汽车、高端金属新材料、精品碳酸钙、高端绿色家居、生物医药、轻工纺织等重点产业集群。</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2.综合节点布局。综合节点指面向两个及两个以上行业提供标识注册、标识解析服务、标识数据服务的二级节点。支持中国—东盟信息港股份有限公司、柳州市东科智慧城市投资开发有限公司2个已建成的综合二级节点继续完善、深化应用。鼓励和支持有条件的企业建设综合二级节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3.区域节点布局。各设区市按照本地化就近服务企业提供标识服务原则，结合当地产业发展方向和全区行业节点布局顶层设计，围绕先进制造业集群和优势产业建设2个以上二级节点，全区形成错位培育、联动建设、集成应用的发展态势。力争到2025年，全区累计建设二级节点30个以上，覆盖全区所有设区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（二）提升标识解析应用能力。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以龙头企业和科研机构为牵引，引导产业链上下游企业应用标识技术，提升工业企业信息的自动采集能力，推动跨环节、跨系统、跨企业、跨地域、跨领域的信息关联共享，促进标识解析技术创新和产业整体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4.提升工业企业标识解析应用能力。在产品、机器、车间、工厂各环节实现底层标识数据采集，信息系统间数据共享。加强数据挖掘和分析应用，深化标识在设计、生产、服务等各环节的使用。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5.提升产业链供应链标识解析应用能力。大型企业纵向连接上下游企业，利用标识解析按需查询数据，中小型企业横向联动，利用标识解析按需共享数据。发挥标识在促进跨企业数据交换、提升产品全生命周期追溯和质量管理水平中的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6.提升工业企业后市场服务能力。打通设计、制造、物流、产品应用各环节，实现全生命周期管理。引进和培育一批行业知名的标识解析服务供应商，构建建设服务商、应用服务商和金融服务商协同服务体系，探索“制造商即电商”的工业电商模式，推动“超级数字工厂”孵化培育，促进标识量、解析量、企业量“三量齐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（三）打造标识解析生态体系。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推动已建、在建、培育的二级节点逐步覆盖广西先进制造业集群，不断提升标识解析量、扩大企业接入数、创新数据服务能力，积极探索可复制可推广的建设模式、应用模式、运营模式、商业模式、盈利模式，培育标识解析应用良好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7.培育工业互联网标识应用供应商。构建广西制造业数字化转型服务商资源池，培育一批工业互联网标识应用供应商。鼓励基础电信企业、制造业企业和制造业数字化转型服务商成为标识应用供应商，参与和承担节点建设和运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8.增强标识解析公共服务能力。围绕标识资源对接、测试认证等服务，引导行业龙头企业与基础电信企业、科研机构合作，建设标识解析应用及推广服务平台。支持二级节点建设运营单位牵头，为相关行业、中小企业提供二级节点建设、应用服务创新、咨询设计、人才培训等公共服务，提供融合技术、标准、设备、解决方案研发研制的试验验证和评估评测等支撑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（四）形成面向东盟的标识解析能力。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充分发挥广西区位优势，鼓励和支持有条件的企业逐步建设覆盖广西“4+N”跨区域跨境产业链供应链的二级节点，鼓励一批标识解析企业走出去，服务广西辐射东盟。支持柳工集团在广西建设机械装备行业的二级节点，为机械装备行业全产业链企业提供标识注册、标识解析、数据管理等服务，在东盟国家建设机械装备行业二级节点的镜像节点，为出口东盟的机械装备和消费者提供国际化的标识解析及产品信息查询等服务。支持上汽通用五菱建设面向东盟的汽车行业二级节点，有效链接海内外供应链、生产制造和市场端，实现跨区域智能制造协同和产品追溯服务。支持中国—东盟信息港股份有限公司在农产品加工、进口产品溯源、口岸贸易、供应链管理以及供应链金融等方面重点打造面向东盟国家的标识解析体系应用，加大标识解析对东盟国家的辐射和带动作用。支持农投集团在广西建设及运营推广农副食品加工行业、制糖行业二级节点，为农副食品加工行业、制糖行业相关的乡村振兴项目提供技术服务支持，为国内销售以及出口东盟的农副食品、糖产品和消费者提供国内与国际化的标识解析及产品信息查询等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（五）夯实标识解析安全基础。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围绕工业互联网标识解析服务安全，建立健全监督管理、风险评估、数据保护、信息共享和通报、应急处置等安全管理制度和工作机制，加快构建工业互联网标识解析服务安全管理体系。鼓励将二级节点联网企业纳入广西工业互联网安全态势感知平台管理，指导联网工业企业的网络安全工作。</w:t>
      </w:r>
    </w:p>
    <w:p>
      <w:pPr>
        <w:keepNext w:val="0"/>
        <w:keepLines w:val="0"/>
        <w:widowControl/>
        <w:suppressLineNumbers w:val="0"/>
        <w:jc w:val="left"/>
        <w:rPr>
          <w:rFonts w:hint="eastAsia" w:ascii="仿宋_GB2312" w:hAnsi="仿宋_GB2312" w:eastAsia="仿宋_GB2312" w:cs="仿宋_GB2312"/>
          <w:color w:val="auto"/>
          <w:sz w:val="30"/>
          <w:szCs w:val="30"/>
        </w:rPr>
      </w:pPr>
      <w:r>
        <w:rPr>
          <w:rFonts w:hint="eastAsia" w:ascii="仿宋_GB2312" w:hAnsi="仿宋_GB2312" w:eastAsia="仿宋_GB2312" w:cs="仿宋_GB2312"/>
          <w:color w:val="auto"/>
          <w:spacing w:val="15"/>
          <w:kern w:val="0"/>
          <w:sz w:val="30"/>
          <w:szCs w:val="30"/>
          <w:lang w:val="en-US" w:eastAsia="zh-CN" w:bidi="ar"/>
        </w:rPr>
        <w:t>四、保障措施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（一）完善组织机制。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自治区层面加强统一布局、协调、推进标识解析体系建设与发展。工业和信息化厅牵头组织标识解析节点建设和应用推广，通信管理局牵头负责对标识服务实施许可、管理和网络安全监管。加强区市县上下联动和跨部门协同，各设区市结合当地产业发展，推动二级节点建设，鼓励地区性标志性农产品、食品加工、快消品等上标识、用标识，实现食品、药品等质量追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（二）给予资金支持。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将标识解析体系建设作为广西实施制造业数字化转型行动的重要内容，列入自治区新型基础设施建设重点工作，对自治区工业和信息化厅、通信管理局委托第三方专业机构评审通过的二级节点建设项目，项目通过验收，投入运营，每个项目给予一次性资金奖励，从自治区统筹支持工业振兴资金中予以安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（三）加大宣传推广。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组织标识解析宣传推广活动，举办标识主题的行业性的论坛、峰会活动或在地方的其它主题活动中推介标识解析服务，促进技术交流与经验分享。加强对二级节点、标识示范企业、标识解析服务提供商的宣传、展示和推广，提升标识解析的影响力。对获得工信部认证的应用供应商、年度新增标识注册量和解析量明显的二级节点、实现关键标准和突破关键技术的单位给予奖励。鼓励各类创投基金、社会资本投向各类标识解析节点建设和应用创新项目和企业，不断拓展融资渠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（四）加强监督评估。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建立信息报送和督查机制，各市工业和信息化局汇总二级节点建设和推广情况，定期向自治区工业和信息化厅、通信管理局报送。掌握标识解析在企业中的应用情况、应用成效，跟踪标识解析产业发展。加强与中国信通院沟通对接，及时了解标识解析国家顶级节点与二级节点运营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Style w:val="8"/>
          <w:rFonts w:hint="eastAsia" w:ascii="仿宋_GB2312" w:hAnsi="仿宋_GB2312" w:eastAsia="仿宋_GB2312" w:cs="仿宋_GB2312"/>
          <w:i w:val="0"/>
          <w:iCs w:val="0"/>
          <w:caps w:val="0"/>
          <w:color w:val="auto"/>
          <w:spacing w:val="0"/>
          <w:sz w:val="30"/>
          <w:szCs w:val="30"/>
          <w:bdr w:val="none" w:color="auto" w:sz="0" w:space="0"/>
          <w:shd w:val="clear" w:fill="FFFFFF"/>
        </w:rPr>
        <w:t>（五）壮大人才队伍。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8" w:lineRule="atLeast"/>
        <w:ind w:left="0" w:right="0" w:firstLine="420"/>
        <w:rPr>
          <w:rFonts w:hint="eastAsia" w:ascii="仿宋_GB2312" w:hAnsi="仿宋_GB2312" w:eastAsia="仿宋_GB2312" w:cs="仿宋_GB2312"/>
          <w:i w:val="0"/>
          <w:iCs w:val="0"/>
          <w:caps w:val="0"/>
          <w:color w:val="auto"/>
          <w:spacing w:val="0"/>
          <w:sz w:val="30"/>
          <w:szCs w:val="30"/>
        </w:rPr>
      </w:pPr>
      <w:r>
        <w:rPr>
          <w:rFonts w:hint="eastAsia" w:ascii="仿宋_GB2312" w:hAnsi="仿宋_GB2312" w:eastAsia="仿宋_GB2312" w:cs="仿宋_GB2312"/>
          <w:i w:val="0"/>
          <w:iCs w:val="0"/>
          <w:caps w:val="0"/>
          <w:color w:val="auto"/>
          <w:spacing w:val="0"/>
          <w:sz w:val="30"/>
          <w:szCs w:val="30"/>
          <w:bdr w:val="none" w:color="auto" w:sz="0" w:space="0"/>
          <w:shd w:val="clear" w:fill="FFFFFF"/>
        </w:rPr>
        <w:t>依托中国信通院、中国工业互联网研究院等国家智库和研究机构专家队伍，加大工业互联网技术人才、管理人才培养力度。通过实施高级研修、急需紧缺人才培养培训、岗位培训等项目，不断提升工业互联网领域专业技术人才创新能力和整体素质。积极引进一批工业互联网领域的高水平专家和高层次科技领军人才。</w:t>
      </w:r>
    </w:p>
    <w:p>
      <w:pPr>
        <w:rPr>
          <w:rFonts w:hint="eastAsia" w:ascii="仿宋_GB2312" w:hAnsi="仿宋_GB2312" w:eastAsia="仿宋_GB2312" w:cs="仿宋_GB2312"/>
          <w:color w:val="auto"/>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0ZWMyOWJjZDFiZjg4YTcxNjJjMTQzNTgwYWQ3MDgifQ=="/>
  </w:docVars>
  <w:rsids>
    <w:rsidRoot w:val="41BD7D49"/>
    <w:rsid w:val="3E0B7C1E"/>
    <w:rsid w:val="41BD7D49"/>
    <w:rsid w:val="65FD1764"/>
    <w:rsid w:val="783F2B70"/>
    <w:rsid w:val="7EC845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2022-11-07T07:12:00Z</dcterms:created>
  <dc:creator>高腾Cynthia GAO</dc:creator>
  <cp:lastModifiedBy>高腾Cynthia GAO</cp:lastModifiedBy>
  <dcterms:modified xsi:type="dcterms:W3CDTF">2022-11-07T07:12:44Z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FCD21D1E787640619C4EF18838F52755</vt:lpwstr>
  </property>
</Properties>
</file>