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25"/>
        </w:tabs>
        <w:spacing w:before="120" w:after="120"/>
        <w:jc w:val="center"/>
        <w:rPr>
          <w:rFonts w:ascii="宋体"/>
          <w:b/>
          <w:sz w:val="36"/>
          <w:szCs w:val="36"/>
        </w:rPr>
      </w:pPr>
      <w:r>
        <w:rPr>
          <w:rFonts w:ascii="宋体"/>
          <w:b/>
          <w:sz w:val="36"/>
          <w:szCs w:val="36"/>
        </w:rPr>
        <w:drawing>
          <wp:inline distT="0" distB="0" distL="0" distR="0">
            <wp:extent cx="5219700" cy="1447800"/>
            <wp:effectExtent l="0" t="0" r="0" b="0"/>
            <wp:docPr id="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19700" cy="1447800"/>
                    </a:xfrm>
                    <a:prstGeom prst="rect">
                      <a:avLst/>
                    </a:prstGeom>
                    <a:noFill/>
                    <a:ln>
                      <a:noFill/>
                    </a:ln>
                  </pic:spPr>
                </pic:pic>
              </a:graphicData>
            </a:graphic>
          </wp:inline>
        </w:drawing>
      </w:r>
    </w:p>
    <w:p>
      <w:pPr>
        <w:tabs>
          <w:tab w:val="left" w:pos="3125"/>
        </w:tabs>
        <w:spacing w:before="120" w:after="120"/>
        <w:ind w:firstLine="560"/>
        <w:jc w:val="center"/>
        <w:rPr>
          <w:rFonts w:ascii="宋体"/>
          <w:b/>
          <w:sz w:val="44"/>
          <w:szCs w:val="44"/>
        </w:rPr>
      </w:pPr>
    </w:p>
    <w:p>
      <w:pPr>
        <w:tabs>
          <w:tab w:val="left" w:pos="3125"/>
        </w:tabs>
        <w:spacing w:before="120" w:after="120"/>
        <w:ind w:firstLine="560"/>
        <w:jc w:val="center"/>
        <w:rPr>
          <w:rFonts w:ascii="宋体"/>
          <w:b/>
          <w:sz w:val="44"/>
          <w:szCs w:val="44"/>
        </w:rPr>
      </w:pPr>
    </w:p>
    <w:p>
      <w:pPr>
        <w:tabs>
          <w:tab w:val="left" w:pos="3125"/>
        </w:tabs>
        <w:spacing w:before="120" w:after="120"/>
        <w:jc w:val="center"/>
        <w:rPr>
          <w:rFonts w:ascii="宋体"/>
          <w:b/>
          <w:sz w:val="48"/>
          <w:szCs w:val="48"/>
        </w:rPr>
      </w:pPr>
      <w:r>
        <w:rPr>
          <w:rFonts w:hint="eastAsia" w:ascii="宋体" w:hAnsi="宋体"/>
          <w:b/>
          <w:sz w:val="48"/>
          <w:szCs w:val="48"/>
        </w:rPr>
        <w:t>申请加入联盟的</w:t>
      </w:r>
    </w:p>
    <w:p>
      <w:pPr>
        <w:tabs>
          <w:tab w:val="left" w:pos="3125"/>
        </w:tabs>
        <w:spacing w:before="120" w:after="120"/>
        <w:jc w:val="center"/>
        <w:rPr>
          <w:rFonts w:ascii="宋体"/>
          <w:b/>
          <w:sz w:val="48"/>
          <w:szCs w:val="48"/>
        </w:rPr>
      </w:pPr>
      <w:r>
        <w:rPr>
          <w:rFonts w:hint="eastAsia" w:ascii="宋体" w:hAnsi="宋体"/>
          <w:b/>
          <w:sz w:val="48"/>
          <w:szCs w:val="48"/>
        </w:rPr>
        <w:t>第五十</w:t>
      </w:r>
      <w:r>
        <w:rPr>
          <w:rFonts w:hint="eastAsia" w:ascii="宋体" w:hAnsi="宋体"/>
          <w:b/>
          <w:sz w:val="48"/>
          <w:szCs w:val="48"/>
          <w:lang w:val="en-US" w:eastAsia="zh-CN"/>
        </w:rPr>
        <w:t>八</w:t>
      </w:r>
      <w:r>
        <w:rPr>
          <w:rFonts w:hint="eastAsia" w:ascii="宋体" w:hAnsi="宋体"/>
          <w:b/>
          <w:sz w:val="48"/>
          <w:szCs w:val="48"/>
        </w:rPr>
        <w:t>批会员清单</w:t>
      </w:r>
    </w:p>
    <w:p>
      <w:pPr>
        <w:tabs>
          <w:tab w:val="left" w:pos="3125"/>
        </w:tabs>
        <w:spacing w:before="120" w:after="120"/>
        <w:ind w:firstLine="560"/>
        <w:jc w:val="center"/>
        <w:rPr>
          <w:rFonts w:ascii="宋体"/>
          <w:b/>
          <w:sz w:val="30"/>
          <w:szCs w:val="30"/>
          <w:u w:val="single"/>
        </w:rPr>
      </w:pPr>
      <w:r>
        <w:rPr>
          <w:rFonts w:hint="eastAsia" w:ascii="宋体" w:hAnsi="宋体"/>
          <w:b/>
          <w:sz w:val="30"/>
          <w:szCs w:val="30"/>
          <w:u w:val="single"/>
        </w:rPr>
        <w:t>（申请日期：</w:t>
      </w:r>
      <w:r>
        <w:rPr>
          <w:rFonts w:ascii="宋体" w:hAnsi="宋体"/>
          <w:b/>
          <w:sz w:val="30"/>
          <w:szCs w:val="30"/>
          <w:u w:val="single"/>
        </w:rPr>
        <w:t>202</w:t>
      </w:r>
      <w:r>
        <w:rPr>
          <w:rFonts w:hint="eastAsia" w:ascii="宋体" w:hAnsi="宋体"/>
          <w:b/>
          <w:sz w:val="30"/>
          <w:szCs w:val="30"/>
          <w:u w:val="single"/>
        </w:rPr>
        <w:t>1年</w:t>
      </w:r>
      <w:r>
        <w:rPr>
          <w:rFonts w:hint="eastAsia" w:ascii="宋体" w:hAnsi="宋体"/>
          <w:b/>
          <w:sz w:val="30"/>
          <w:szCs w:val="30"/>
          <w:u w:val="single"/>
          <w:lang w:val="en-US" w:eastAsia="zh-CN"/>
        </w:rPr>
        <w:t>12</w:t>
      </w:r>
      <w:r>
        <w:rPr>
          <w:rFonts w:hint="eastAsia" w:ascii="宋体" w:hAnsi="宋体"/>
          <w:b/>
          <w:sz w:val="30"/>
          <w:szCs w:val="30"/>
          <w:u w:val="single"/>
        </w:rPr>
        <w:t>月</w:t>
      </w:r>
      <w:r>
        <w:rPr>
          <w:rFonts w:hint="eastAsia" w:ascii="宋体" w:hAnsi="宋体"/>
          <w:b/>
          <w:sz w:val="30"/>
          <w:szCs w:val="30"/>
          <w:u w:val="single"/>
          <w:lang w:val="en-US" w:eastAsia="zh-CN"/>
        </w:rPr>
        <w:t>1</w:t>
      </w:r>
      <w:r>
        <w:rPr>
          <w:rFonts w:hint="eastAsia" w:ascii="宋体" w:hAnsi="宋体"/>
          <w:b/>
          <w:sz w:val="30"/>
          <w:szCs w:val="30"/>
          <w:u w:val="single"/>
        </w:rPr>
        <w:t>日</w:t>
      </w:r>
      <w:r>
        <w:rPr>
          <w:rFonts w:ascii="宋体" w:hAnsi="宋体"/>
          <w:b/>
          <w:sz w:val="30"/>
          <w:szCs w:val="30"/>
          <w:u w:val="single"/>
        </w:rPr>
        <w:t>-202</w:t>
      </w:r>
      <w:r>
        <w:rPr>
          <w:rFonts w:hint="eastAsia" w:ascii="宋体" w:hAnsi="宋体"/>
          <w:b/>
          <w:sz w:val="30"/>
          <w:szCs w:val="30"/>
          <w:u w:val="single"/>
          <w:lang w:val="en-US" w:eastAsia="zh-CN"/>
        </w:rPr>
        <w:t>2</w:t>
      </w:r>
      <w:r>
        <w:rPr>
          <w:rFonts w:hint="eastAsia" w:ascii="宋体" w:hAnsi="宋体"/>
          <w:b/>
          <w:sz w:val="30"/>
          <w:szCs w:val="30"/>
          <w:u w:val="single"/>
        </w:rPr>
        <w:t>年</w:t>
      </w:r>
      <w:r>
        <w:rPr>
          <w:rFonts w:hint="eastAsia" w:ascii="宋体" w:hAnsi="宋体"/>
          <w:b/>
          <w:sz w:val="30"/>
          <w:szCs w:val="30"/>
          <w:u w:val="single"/>
          <w:lang w:val="en-US" w:eastAsia="zh-CN"/>
        </w:rPr>
        <w:t>1</w:t>
      </w:r>
      <w:r>
        <w:rPr>
          <w:rFonts w:hint="eastAsia" w:ascii="宋体" w:hAnsi="宋体"/>
          <w:b/>
          <w:sz w:val="30"/>
          <w:szCs w:val="30"/>
          <w:u w:val="single"/>
        </w:rPr>
        <w:t>月</w:t>
      </w:r>
      <w:r>
        <w:rPr>
          <w:rFonts w:hint="eastAsia" w:ascii="宋体" w:hAnsi="宋体"/>
          <w:b/>
          <w:sz w:val="30"/>
          <w:szCs w:val="30"/>
          <w:u w:val="single"/>
          <w:lang w:val="en-US" w:eastAsia="zh-CN"/>
        </w:rPr>
        <w:t>7</w:t>
      </w:r>
      <w:r>
        <w:rPr>
          <w:rFonts w:hint="eastAsia" w:ascii="宋体" w:hAnsi="宋体"/>
          <w:b/>
          <w:sz w:val="30"/>
          <w:szCs w:val="30"/>
          <w:u w:val="single"/>
        </w:rPr>
        <w:t>日）</w:t>
      </w:r>
    </w:p>
    <w:p>
      <w:pPr>
        <w:tabs>
          <w:tab w:val="left" w:pos="3125"/>
        </w:tabs>
        <w:spacing w:before="120" w:after="120"/>
        <w:ind w:firstLine="560"/>
        <w:jc w:val="center"/>
        <w:rPr>
          <w:rFonts w:ascii="宋体"/>
          <w:sz w:val="30"/>
          <w:szCs w:val="30"/>
        </w:rPr>
      </w:pPr>
    </w:p>
    <w:p>
      <w:pPr>
        <w:tabs>
          <w:tab w:val="left" w:pos="3125"/>
        </w:tabs>
        <w:snapToGrid w:val="0"/>
        <w:spacing w:line="360" w:lineRule="auto"/>
        <w:rPr>
          <w:rFonts w:ascii="宋体"/>
          <w:sz w:val="32"/>
          <w:szCs w:val="32"/>
        </w:rPr>
      </w:pPr>
    </w:p>
    <w:p>
      <w:pPr>
        <w:tabs>
          <w:tab w:val="left" w:pos="3125"/>
        </w:tabs>
        <w:snapToGrid w:val="0"/>
        <w:spacing w:line="360" w:lineRule="auto"/>
        <w:rPr>
          <w:rFonts w:ascii="宋体"/>
          <w:sz w:val="32"/>
          <w:szCs w:val="32"/>
        </w:rPr>
      </w:pPr>
    </w:p>
    <w:p>
      <w:pPr>
        <w:tabs>
          <w:tab w:val="left" w:pos="3125"/>
        </w:tabs>
        <w:snapToGrid w:val="0"/>
        <w:spacing w:line="360" w:lineRule="auto"/>
        <w:rPr>
          <w:rFonts w:ascii="宋体"/>
          <w:sz w:val="32"/>
          <w:szCs w:val="32"/>
        </w:rPr>
      </w:pPr>
    </w:p>
    <w:p>
      <w:pPr>
        <w:tabs>
          <w:tab w:val="left" w:pos="3125"/>
        </w:tabs>
        <w:snapToGrid w:val="0"/>
        <w:spacing w:line="360" w:lineRule="auto"/>
        <w:rPr>
          <w:rFonts w:ascii="宋体"/>
          <w:sz w:val="32"/>
          <w:szCs w:val="32"/>
        </w:rPr>
      </w:pPr>
    </w:p>
    <w:p>
      <w:pPr>
        <w:tabs>
          <w:tab w:val="left" w:pos="3125"/>
        </w:tabs>
        <w:snapToGrid w:val="0"/>
        <w:spacing w:line="360" w:lineRule="auto"/>
        <w:rPr>
          <w:rFonts w:ascii="宋体"/>
          <w:sz w:val="32"/>
          <w:szCs w:val="32"/>
        </w:rPr>
      </w:pPr>
    </w:p>
    <w:p>
      <w:pPr>
        <w:tabs>
          <w:tab w:val="left" w:pos="3125"/>
        </w:tabs>
        <w:snapToGrid w:val="0"/>
        <w:spacing w:line="360" w:lineRule="auto"/>
        <w:jc w:val="center"/>
        <w:rPr>
          <w:rFonts w:ascii="宋体"/>
          <w:sz w:val="36"/>
          <w:szCs w:val="36"/>
        </w:rPr>
      </w:pPr>
      <w:r>
        <w:rPr>
          <w:rFonts w:hint="eastAsia" w:ascii="宋体" w:hAnsi="宋体"/>
          <w:sz w:val="36"/>
          <w:szCs w:val="36"/>
        </w:rPr>
        <w:t>工业互联网产业联盟秘书处</w:t>
      </w:r>
    </w:p>
    <w:p>
      <w:pPr>
        <w:tabs>
          <w:tab w:val="left" w:pos="3125"/>
        </w:tabs>
        <w:snapToGrid w:val="0"/>
        <w:spacing w:line="360" w:lineRule="auto"/>
        <w:jc w:val="center"/>
        <w:rPr>
          <w:rFonts w:ascii="宋体"/>
          <w:sz w:val="36"/>
          <w:szCs w:val="36"/>
        </w:rPr>
      </w:pPr>
      <w:r>
        <w:rPr>
          <w:rFonts w:ascii="宋体" w:hAnsi="宋体"/>
          <w:sz w:val="36"/>
          <w:szCs w:val="36"/>
        </w:rPr>
        <w:t>202</w:t>
      </w:r>
      <w:r>
        <w:rPr>
          <w:rFonts w:hint="eastAsia" w:ascii="宋体" w:hAnsi="宋体"/>
          <w:sz w:val="36"/>
          <w:szCs w:val="36"/>
          <w:lang w:val="en-US" w:eastAsia="zh-CN"/>
        </w:rPr>
        <w:t>2</w:t>
      </w:r>
      <w:r>
        <w:rPr>
          <w:rFonts w:hint="eastAsia" w:ascii="宋体" w:hAnsi="宋体"/>
          <w:sz w:val="36"/>
          <w:szCs w:val="36"/>
        </w:rPr>
        <w:t>年</w:t>
      </w:r>
      <w:r>
        <w:rPr>
          <w:rFonts w:hint="eastAsia" w:ascii="宋体" w:hAnsi="宋体"/>
          <w:sz w:val="36"/>
          <w:szCs w:val="36"/>
          <w:lang w:val="en-US" w:eastAsia="zh-CN"/>
        </w:rPr>
        <w:t>1</w:t>
      </w:r>
      <w:r>
        <w:rPr>
          <w:rFonts w:hint="eastAsia" w:ascii="宋体" w:hAnsi="宋体"/>
          <w:sz w:val="36"/>
          <w:szCs w:val="36"/>
        </w:rPr>
        <w:t>月</w:t>
      </w:r>
      <w:r>
        <w:rPr>
          <w:rFonts w:hint="eastAsia" w:ascii="宋体" w:hAnsi="宋体"/>
          <w:sz w:val="36"/>
          <w:szCs w:val="36"/>
          <w:lang w:val="en-US" w:eastAsia="zh-CN"/>
        </w:rPr>
        <w:t>7</w:t>
      </w:r>
      <w:r>
        <w:rPr>
          <w:rFonts w:hint="eastAsia" w:ascii="宋体" w:hAnsi="宋体"/>
          <w:sz w:val="36"/>
          <w:szCs w:val="36"/>
        </w:rPr>
        <w:t>日</w:t>
      </w:r>
    </w:p>
    <w:p>
      <w:pPr>
        <w:jc w:val="center"/>
        <w:rPr>
          <w:rFonts w:ascii="宋体"/>
          <w:color w:val="000000"/>
          <w:sz w:val="28"/>
        </w:rPr>
        <w:sectPr>
          <w:headerReference r:id="rId6" w:type="first"/>
          <w:headerReference r:id="rId5" w:type="default"/>
          <w:footerReference r:id="rId7" w:type="default"/>
          <w:pgSz w:w="11906" w:h="16838"/>
          <w:pgMar w:top="1985" w:right="1800" w:bottom="1440" w:left="1800" w:header="851" w:footer="992" w:gutter="0"/>
          <w:pgNumType w:fmt="upperRoman" w:start="1"/>
          <w:cols w:space="425" w:num="1"/>
          <w:titlePg/>
          <w:docGrid w:type="lines" w:linePitch="312" w:charSpace="0"/>
        </w:sectPr>
      </w:pPr>
    </w:p>
    <w:p>
      <w:pPr>
        <w:jc w:val="center"/>
        <w:rPr>
          <w:rFonts w:ascii="宋体"/>
          <w:b/>
          <w:color w:val="000000"/>
          <w:sz w:val="36"/>
        </w:rPr>
      </w:pPr>
      <w:r>
        <w:rPr>
          <w:rFonts w:hint="eastAsia" w:ascii="宋体" w:hAnsi="宋体"/>
          <w:b/>
          <w:color w:val="000000"/>
          <w:sz w:val="36"/>
        </w:rPr>
        <w:t>目</w:t>
      </w:r>
      <w:r>
        <w:rPr>
          <w:rFonts w:ascii="宋体" w:hAnsi="宋体"/>
          <w:b/>
          <w:color w:val="000000"/>
          <w:sz w:val="36"/>
        </w:rPr>
        <w:t xml:space="preserve">  </w:t>
      </w:r>
      <w:r>
        <w:rPr>
          <w:rFonts w:hint="eastAsia" w:ascii="宋体" w:hAnsi="宋体"/>
          <w:b/>
          <w:color w:val="000000"/>
          <w:sz w:val="36"/>
        </w:rPr>
        <w:t>录</w:t>
      </w:r>
    </w:p>
    <w:p>
      <w:pPr>
        <w:spacing w:after="0" w:line="240" w:lineRule="auto"/>
        <w:jc w:val="center"/>
      </w:pPr>
    </w:p>
    <w:p>
      <w:pPr>
        <w:pStyle w:val="17"/>
        <w:tabs>
          <w:tab w:val="right" w:leader="dot" w:pos="8306"/>
          <w:tab w:val="clear" w:pos="8296"/>
        </w:tabs>
      </w:pPr>
      <w:r>
        <w:fldChar w:fldCharType="begin"/>
      </w:r>
      <w:r>
        <w:instrText xml:space="preserve"> TOC \o "1-3" \h \z \u </w:instrText>
      </w:r>
      <w:r>
        <w:fldChar w:fldCharType="separate"/>
      </w:r>
      <w:r>
        <w:fldChar w:fldCharType="begin"/>
      </w:r>
      <w:r>
        <w:instrText xml:space="preserve"> HYPERLINK \l _Toc14347 </w:instrText>
      </w:r>
      <w:r>
        <w:fldChar w:fldCharType="separate"/>
      </w:r>
      <w:r>
        <w:rPr>
          <w:rFonts w:hint="eastAsia" w:ascii="仿宋" w:hAnsi="仿宋" w:eastAsia="仿宋"/>
          <w:szCs w:val="32"/>
        </w:rPr>
        <w:t>一、企业名单</w:t>
      </w:r>
      <w:r>
        <w:tab/>
      </w:r>
      <w:r>
        <w:fldChar w:fldCharType="begin"/>
      </w:r>
      <w:r>
        <w:instrText xml:space="preserve"> PAGEREF _Toc14347 \h </w:instrText>
      </w:r>
      <w:r>
        <w:fldChar w:fldCharType="separate"/>
      </w:r>
      <w:r>
        <w:t>1</w:t>
      </w:r>
      <w:r>
        <w:fldChar w:fldCharType="end"/>
      </w:r>
      <w:r>
        <w:fldChar w:fldCharType="end"/>
      </w:r>
    </w:p>
    <w:p>
      <w:pPr>
        <w:pStyle w:val="22"/>
        <w:tabs>
          <w:tab w:val="right" w:leader="dot" w:pos="8306"/>
          <w:tab w:val="clear" w:pos="8296"/>
        </w:tabs>
      </w:pPr>
      <w:r>
        <w:fldChar w:fldCharType="begin"/>
      </w:r>
      <w:r>
        <w:instrText xml:space="preserve"> HYPERLINK \l _Toc6044 </w:instrText>
      </w:r>
      <w:r>
        <w:fldChar w:fldCharType="separate"/>
      </w:r>
      <w:r>
        <w:rPr>
          <w:rFonts w:hint="default" w:ascii="仿宋" w:hAnsi="仿宋" w:eastAsia="仿宋"/>
          <w:bCs w:val="0"/>
          <w:szCs w:val="30"/>
        </w:rPr>
        <w:t xml:space="preserve">（一） </w:t>
      </w:r>
      <w:r>
        <w:rPr>
          <w:rFonts w:hint="eastAsia" w:ascii="仿宋" w:hAnsi="仿宋" w:eastAsia="仿宋"/>
          <w:bCs w:val="0"/>
          <w:szCs w:val="30"/>
        </w:rPr>
        <w:t>工业企业（</w:t>
      </w:r>
      <w:r>
        <w:rPr>
          <w:rFonts w:hint="eastAsia" w:ascii="仿宋" w:hAnsi="仿宋" w:eastAsia="仿宋"/>
          <w:bCs w:val="0"/>
          <w:szCs w:val="30"/>
          <w:lang w:val="en-US" w:eastAsia="zh-CN"/>
        </w:rPr>
        <w:t>4</w:t>
      </w:r>
      <w:r>
        <w:rPr>
          <w:rFonts w:hint="eastAsia" w:ascii="仿宋" w:hAnsi="仿宋" w:eastAsia="仿宋"/>
          <w:bCs w:val="0"/>
          <w:szCs w:val="30"/>
        </w:rPr>
        <w:t>家）</w:t>
      </w:r>
      <w:r>
        <w:tab/>
      </w:r>
      <w:r>
        <w:fldChar w:fldCharType="begin"/>
      </w:r>
      <w:r>
        <w:instrText xml:space="preserve"> PAGEREF _Toc6044 \h </w:instrText>
      </w:r>
      <w:r>
        <w:fldChar w:fldCharType="separate"/>
      </w:r>
      <w:r>
        <w:t>1</w:t>
      </w:r>
      <w:r>
        <w:fldChar w:fldCharType="end"/>
      </w:r>
      <w:r>
        <w:fldChar w:fldCharType="end"/>
      </w:r>
    </w:p>
    <w:p>
      <w:pPr>
        <w:pStyle w:val="22"/>
        <w:tabs>
          <w:tab w:val="right" w:leader="dot" w:pos="8306"/>
          <w:tab w:val="clear" w:pos="8296"/>
        </w:tabs>
      </w:pPr>
      <w:r>
        <w:fldChar w:fldCharType="begin"/>
      </w:r>
      <w:r>
        <w:instrText xml:space="preserve"> HYPERLINK \l _Toc19597 </w:instrText>
      </w:r>
      <w:r>
        <w:fldChar w:fldCharType="separate"/>
      </w:r>
      <w:r>
        <w:rPr>
          <w:rFonts w:hint="eastAsia" w:ascii="仿宋" w:hAnsi="仿宋" w:eastAsia="仿宋"/>
          <w:bCs w:val="0"/>
          <w:szCs w:val="30"/>
        </w:rPr>
        <w:t>（二）工</w:t>
      </w:r>
      <w:bookmarkStart w:id="41" w:name="_GoBack"/>
      <w:bookmarkEnd w:id="41"/>
      <w:r>
        <w:rPr>
          <w:rFonts w:hint="eastAsia" w:ascii="仿宋" w:hAnsi="仿宋" w:eastAsia="仿宋"/>
          <w:bCs w:val="0"/>
          <w:szCs w:val="30"/>
        </w:rPr>
        <w:t>业解决方案提供商（</w:t>
      </w:r>
      <w:r>
        <w:rPr>
          <w:rFonts w:hint="eastAsia" w:ascii="仿宋" w:hAnsi="仿宋" w:eastAsia="仿宋"/>
          <w:bCs w:val="0"/>
          <w:szCs w:val="30"/>
          <w:lang w:val="en-US" w:eastAsia="zh-CN"/>
        </w:rPr>
        <w:t>25</w:t>
      </w:r>
      <w:r>
        <w:rPr>
          <w:rFonts w:hint="eastAsia" w:ascii="仿宋" w:hAnsi="仿宋" w:eastAsia="仿宋"/>
          <w:bCs w:val="0"/>
          <w:szCs w:val="30"/>
        </w:rPr>
        <w:t>家）</w:t>
      </w:r>
      <w:r>
        <w:tab/>
      </w:r>
      <w:r>
        <w:fldChar w:fldCharType="begin"/>
      </w:r>
      <w:r>
        <w:instrText xml:space="preserve"> PAGEREF _Toc19597 \h </w:instrText>
      </w:r>
      <w:r>
        <w:fldChar w:fldCharType="separate"/>
      </w:r>
      <w:r>
        <w:t>1</w:t>
      </w:r>
      <w:r>
        <w:fldChar w:fldCharType="end"/>
      </w:r>
      <w:r>
        <w:fldChar w:fldCharType="end"/>
      </w:r>
    </w:p>
    <w:p>
      <w:pPr>
        <w:pStyle w:val="22"/>
        <w:tabs>
          <w:tab w:val="right" w:leader="dot" w:pos="8306"/>
          <w:tab w:val="clear" w:pos="8296"/>
        </w:tabs>
      </w:pPr>
      <w:r>
        <w:fldChar w:fldCharType="begin"/>
      </w:r>
      <w:r>
        <w:instrText xml:space="preserve"> HYPERLINK \l _Toc3768 </w:instrText>
      </w:r>
      <w:r>
        <w:fldChar w:fldCharType="separate"/>
      </w:r>
      <w:r>
        <w:rPr>
          <w:rFonts w:hint="eastAsia" w:ascii="仿宋" w:hAnsi="仿宋" w:eastAsia="仿宋"/>
          <w:bCs w:val="0"/>
          <w:szCs w:val="30"/>
        </w:rPr>
        <w:t>（三）</w:t>
      </w:r>
      <w:r>
        <w:rPr>
          <w:rFonts w:hint="eastAsia" w:ascii="仿宋" w:hAnsi="仿宋" w:eastAsia="仿宋"/>
          <w:bCs w:val="0"/>
          <w:szCs w:val="30"/>
          <w:lang w:val="en-US" w:eastAsia="zh-CN"/>
        </w:rPr>
        <w:t>信息通信企业（2家）</w:t>
      </w:r>
      <w:r>
        <w:tab/>
      </w:r>
      <w:r>
        <w:fldChar w:fldCharType="begin"/>
      </w:r>
      <w:r>
        <w:instrText xml:space="preserve"> PAGEREF _Toc3768 \h </w:instrText>
      </w:r>
      <w:r>
        <w:fldChar w:fldCharType="separate"/>
      </w:r>
      <w:r>
        <w:t>3</w:t>
      </w:r>
      <w:r>
        <w:fldChar w:fldCharType="end"/>
      </w:r>
      <w:r>
        <w:fldChar w:fldCharType="end"/>
      </w:r>
    </w:p>
    <w:p>
      <w:pPr>
        <w:pStyle w:val="22"/>
        <w:tabs>
          <w:tab w:val="right" w:leader="dot" w:pos="8306"/>
          <w:tab w:val="clear" w:pos="8296"/>
        </w:tabs>
      </w:pPr>
      <w:r>
        <w:fldChar w:fldCharType="begin"/>
      </w:r>
      <w:r>
        <w:instrText xml:space="preserve"> HYPERLINK \l _Toc20847 </w:instrText>
      </w:r>
      <w:r>
        <w:fldChar w:fldCharType="separate"/>
      </w:r>
      <w:r>
        <w:rPr>
          <w:rFonts w:hint="eastAsia" w:ascii="仿宋" w:hAnsi="仿宋" w:eastAsia="仿宋"/>
          <w:bCs w:val="0"/>
          <w:szCs w:val="30"/>
        </w:rPr>
        <w:t>（</w:t>
      </w:r>
      <w:r>
        <w:rPr>
          <w:rFonts w:hint="eastAsia" w:ascii="仿宋" w:hAnsi="仿宋" w:eastAsia="仿宋"/>
          <w:bCs w:val="0"/>
          <w:szCs w:val="30"/>
          <w:lang w:val="en-US" w:eastAsia="zh-CN"/>
        </w:rPr>
        <w:t>四</w:t>
      </w:r>
      <w:r>
        <w:rPr>
          <w:rFonts w:hint="eastAsia" w:ascii="仿宋" w:hAnsi="仿宋" w:eastAsia="仿宋"/>
          <w:bCs w:val="0"/>
          <w:szCs w:val="30"/>
        </w:rPr>
        <w:t>）</w:t>
      </w:r>
      <w:r>
        <w:rPr>
          <w:rFonts w:hint="eastAsia" w:ascii="仿宋" w:hAnsi="仿宋" w:eastAsia="仿宋"/>
          <w:bCs w:val="0"/>
          <w:szCs w:val="30"/>
          <w:lang w:val="en-US" w:eastAsia="zh-CN"/>
        </w:rPr>
        <w:t>高校及科研院所</w:t>
      </w:r>
      <w:r>
        <w:rPr>
          <w:rFonts w:hint="eastAsia" w:ascii="仿宋" w:hAnsi="仿宋" w:eastAsia="仿宋"/>
          <w:bCs w:val="0"/>
          <w:szCs w:val="30"/>
        </w:rPr>
        <w:t>（</w:t>
      </w:r>
      <w:r>
        <w:rPr>
          <w:rFonts w:hint="eastAsia" w:ascii="仿宋" w:hAnsi="仿宋" w:eastAsia="仿宋"/>
          <w:bCs w:val="0"/>
          <w:szCs w:val="30"/>
          <w:lang w:val="en-US" w:eastAsia="zh-CN"/>
        </w:rPr>
        <w:t>1</w:t>
      </w:r>
      <w:r>
        <w:rPr>
          <w:rFonts w:hint="eastAsia" w:ascii="仿宋" w:hAnsi="仿宋" w:eastAsia="仿宋"/>
          <w:bCs w:val="0"/>
          <w:szCs w:val="30"/>
        </w:rPr>
        <w:t>家）</w:t>
      </w:r>
      <w:r>
        <w:tab/>
      </w:r>
      <w:r>
        <w:fldChar w:fldCharType="begin"/>
      </w:r>
      <w:r>
        <w:instrText xml:space="preserve"> PAGEREF _Toc20847 \h </w:instrText>
      </w:r>
      <w:r>
        <w:fldChar w:fldCharType="separate"/>
      </w:r>
      <w:r>
        <w:t>3</w:t>
      </w:r>
      <w:r>
        <w:fldChar w:fldCharType="end"/>
      </w:r>
      <w:r>
        <w:fldChar w:fldCharType="end"/>
      </w:r>
    </w:p>
    <w:p>
      <w:pPr>
        <w:pStyle w:val="17"/>
        <w:tabs>
          <w:tab w:val="right" w:leader="dot" w:pos="8306"/>
          <w:tab w:val="clear" w:pos="8296"/>
        </w:tabs>
      </w:pPr>
      <w:r>
        <w:fldChar w:fldCharType="begin"/>
      </w:r>
      <w:r>
        <w:instrText xml:space="preserve"> HYPERLINK \l _Toc10516 </w:instrText>
      </w:r>
      <w:r>
        <w:fldChar w:fldCharType="separate"/>
      </w:r>
      <w:r>
        <w:rPr>
          <w:rFonts w:hint="eastAsia" w:ascii="仿宋" w:hAnsi="仿宋" w:eastAsia="仿宋"/>
          <w:szCs w:val="32"/>
        </w:rPr>
        <w:t>二、企业介绍</w:t>
      </w:r>
      <w:r>
        <w:tab/>
      </w:r>
      <w:r>
        <w:fldChar w:fldCharType="begin"/>
      </w:r>
      <w:r>
        <w:instrText xml:space="preserve"> PAGEREF _Toc10516 \h </w:instrText>
      </w:r>
      <w:r>
        <w:fldChar w:fldCharType="separate"/>
      </w:r>
      <w:r>
        <w:t>4</w:t>
      </w:r>
      <w:r>
        <w:fldChar w:fldCharType="end"/>
      </w:r>
      <w:r>
        <w:fldChar w:fldCharType="end"/>
      </w:r>
    </w:p>
    <w:p>
      <w:pPr>
        <w:pStyle w:val="22"/>
        <w:tabs>
          <w:tab w:val="right" w:leader="dot" w:pos="8306"/>
          <w:tab w:val="clear" w:pos="8296"/>
        </w:tabs>
      </w:pPr>
      <w:r>
        <w:fldChar w:fldCharType="begin"/>
      </w:r>
      <w:r>
        <w:instrText xml:space="preserve"> HYPERLINK \l _Toc20605 </w:instrText>
      </w:r>
      <w:r>
        <w:fldChar w:fldCharType="separate"/>
      </w:r>
      <w:r>
        <w:rPr>
          <w:rFonts w:ascii="仿宋" w:hAnsi="仿宋" w:eastAsia="仿宋"/>
          <w:bCs w:val="0"/>
          <w:szCs w:val="30"/>
        </w:rPr>
        <w:t xml:space="preserve">1. </w:t>
      </w:r>
      <w:r>
        <w:rPr>
          <w:rFonts w:hint="eastAsia" w:ascii="仿宋" w:hAnsi="仿宋" w:eastAsia="仿宋"/>
          <w:bCs w:val="0"/>
          <w:szCs w:val="30"/>
          <w:highlight w:val="none"/>
        </w:rPr>
        <w:t>天津市迅尔仪表科技有限公司</w:t>
      </w:r>
      <w:r>
        <w:tab/>
      </w:r>
      <w:r>
        <w:fldChar w:fldCharType="begin"/>
      </w:r>
      <w:r>
        <w:instrText xml:space="preserve"> PAGEREF _Toc20605 \h </w:instrText>
      </w:r>
      <w:r>
        <w:fldChar w:fldCharType="separate"/>
      </w:r>
      <w:r>
        <w:t>4</w:t>
      </w:r>
      <w:r>
        <w:fldChar w:fldCharType="end"/>
      </w:r>
      <w:r>
        <w:fldChar w:fldCharType="end"/>
      </w:r>
    </w:p>
    <w:p>
      <w:pPr>
        <w:pStyle w:val="22"/>
        <w:tabs>
          <w:tab w:val="right" w:leader="dot" w:pos="8306"/>
          <w:tab w:val="clear" w:pos="8296"/>
        </w:tabs>
      </w:pPr>
      <w:r>
        <w:fldChar w:fldCharType="begin"/>
      </w:r>
      <w:r>
        <w:instrText xml:space="preserve"> HYPERLINK \l _Toc26152 </w:instrText>
      </w:r>
      <w:r>
        <w:fldChar w:fldCharType="separate"/>
      </w:r>
      <w:r>
        <w:rPr>
          <w:rFonts w:ascii="仿宋" w:hAnsi="仿宋" w:eastAsia="仿宋"/>
          <w:bCs w:val="0"/>
          <w:szCs w:val="30"/>
        </w:rPr>
        <w:t xml:space="preserve">2. </w:t>
      </w:r>
      <w:r>
        <w:rPr>
          <w:rFonts w:hint="eastAsia" w:ascii="仿宋" w:hAnsi="仿宋" w:eastAsia="仿宋"/>
          <w:bCs w:val="0"/>
          <w:szCs w:val="30"/>
          <w:highlight w:val="none"/>
        </w:rPr>
        <w:t>厦门赛尔特电子有限公司</w:t>
      </w:r>
      <w:r>
        <w:tab/>
      </w:r>
      <w:r>
        <w:fldChar w:fldCharType="begin"/>
      </w:r>
      <w:r>
        <w:instrText xml:space="preserve"> PAGEREF _Toc26152 \h </w:instrText>
      </w:r>
      <w:r>
        <w:fldChar w:fldCharType="separate"/>
      </w:r>
      <w:r>
        <w:t>4</w:t>
      </w:r>
      <w:r>
        <w:fldChar w:fldCharType="end"/>
      </w:r>
      <w:r>
        <w:fldChar w:fldCharType="end"/>
      </w:r>
    </w:p>
    <w:p>
      <w:pPr>
        <w:pStyle w:val="22"/>
        <w:tabs>
          <w:tab w:val="right" w:leader="dot" w:pos="8306"/>
          <w:tab w:val="clear" w:pos="8296"/>
        </w:tabs>
      </w:pPr>
      <w:r>
        <w:fldChar w:fldCharType="begin"/>
      </w:r>
      <w:r>
        <w:instrText xml:space="preserve"> HYPERLINK \l _Toc31912 </w:instrText>
      </w:r>
      <w:r>
        <w:fldChar w:fldCharType="separate"/>
      </w:r>
      <w:r>
        <w:rPr>
          <w:rFonts w:hint="eastAsia" w:ascii="仿宋" w:hAnsi="仿宋" w:eastAsia="仿宋"/>
          <w:bCs w:val="0"/>
          <w:szCs w:val="30"/>
        </w:rPr>
        <w:t xml:space="preserve">3. </w:t>
      </w:r>
      <w:r>
        <w:rPr>
          <w:rFonts w:hint="eastAsia" w:ascii="仿宋" w:hAnsi="仿宋" w:eastAsia="仿宋"/>
          <w:bCs w:val="0"/>
          <w:szCs w:val="30"/>
          <w:highlight w:val="none"/>
        </w:rPr>
        <w:t>费森尤斯医疗投资（中国）有限公司</w:t>
      </w:r>
      <w:r>
        <w:tab/>
      </w:r>
      <w:r>
        <w:fldChar w:fldCharType="begin"/>
      </w:r>
      <w:r>
        <w:instrText xml:space="preserve"> PAGEREF _Toc31912 \h </w:instrText>
      </w:r>
      <w:r>
        <w:fldChar w:fldCharType="separate"/>
      </w:r>
      <w:r>
        <w:t>5</w:t>
      </w:r>
      <w:r>
        <w:fldChar w:fldCharType="end"/>
      </w:r>
      <w:r>
        <w:fldChar w:fldCharType="end"/>
      </w:r>
    </w:p>
    <w:p>
      <w:pPr>
        <w:pStyle w:val="22"/>
        <w:tabs>
          <w:tab w:val="right" w:leader="dot" w:pos="8306"/>
          <w:tab w:val="clear" w:pos="8296"/>
        </w:tabs>
      </w:pPr>
      <w:r>
        <w:fldChar w:fldCharType="begin"/>
      </w:r>
      <w:r>
        <w:instrText xml:space="preserve"> HYPERLINK \l _Toc276 </w:instrText>
      </w:r>
      <w:r>
        <w:fldChar w:fldCharType="separate"/>
      </w:r>
      <w:r>
        <w:rPr>
          <w:rFonts w:hint="eastAsia" w:ascii="仿宋" w:hAnsi="仿宋" w:eastAsia="仿宋"/>
          <w:bCs w:val="0"/>
          <w:szCs w:val="30"/>
        </w:rPr>
        <w:t xml:space="preserve">4. </w:t>
      </w:r>
      <w:r>
        <w:rPr>
          <w:rFonts w:hint="eastAsia" w:ascii="仿宋" w:hAnsi="仿宋" w:eastAsia="仿宋"/>
          <w:bCs w:val="0"/>
          <w:szCs w:val="30"/>
          <w:highlight w:val="none"/>
        </w:rPr>
        <w:t>万华禾香生态科技股份有限公司</w:t>
      </w:r>
      <w:r>
        <w:tab/>
      </w:r>
      <w:r>
        <w:fldChar w:fldCharType="begin"/>
      </w:r>
      <w:r>
        <w:instrText xml:space="preserve"> PAGEREF _Toc276 \h </w:instrText>
      </w:r>
      <w:r>
        <w:fldChar w:fldCharType="separate"/>
      </w:r>
      <w:r>
        <w:t>6</w:t>
      </w:r>
      <w:r>
        <w:fldChar w:fldCharType="end"/>
      </w:r>
      <w:r>
        <w:fldChar w:fldCharType="end"/>
      </w:r>
    </w:p>
    <w:p>
      <w:pPr>
        <w:pStyle w:val="22"/>
        <w:tabs>
          <w:tab w:val="right" w:leader="dot" w:pos="8306"/>
          <w:tab w:val="clear" w:pos="8296"/>
        </w:tabs>
      </w:pPr>
      <w:r>
        <w:fldChar w:fldCharType="begin"/>
      </w:r>
      <w:r>
        <w:instrText xml:space="preserve"> HYPERLINK \l _Toc28855 </w:instrText>
      </w:r>
      <w:r>
        <w:fldChar w:fldCharType="separate"/>
      </w:r>
      <w:r>
        <w:rPr>
          <w:rFonts w:hint="eastAsia" w:ascii="仿宋" w:hAnsi="仿宋" w:eastAsia="仿宋"/>
          <w:bCs w:val="0"/>
          <w:szCs w:val="30"/>
        </w:rPr>
        <w:t xml:space="preserve">5. </w:t>
      </w:r>
      <w:r>
        <w:rPr>
          <w:rFonts w:hint="eastAsia" w:ascii="仿宋" w:hAnsi="仿宋" w:eastAsia="仿宋"/>
          <w:bCs w:val="0"/>
          <w:szCs w:val="30"/>
          <w:highlight w:val="none"/>
        </w:rPr>
        <w:t>南京罕华流体技术有限公司</w:t>
      </w:r>
      <w:r>
        <w:tab/>
      </w:r>
      <w:r>
        <w:fldChar w:fldCharType="begin"/>
      </w:r>
      <w:r>
        <w:instrText xml:space="preserve"> PAGEREF _Toc28855 \h </w:instrText>
      </w:r>
      <w:r>
        <w:fldChar w:fldCharType="separate"/>
      </w:r>
      <w:r>
        <w:t>7</w:t>
      </w:r>
      <w:r>
        <w:fldChar w:fldCharType="end"/>
      </w:r>
      <w:r>
        <w:fldChar w:fldCharType="end"/>
      </w:r>
    </w:p>
    <w:p>
      <w:pPr>
        <w:pStyle w:val="22"/>
        <w:tabs>
          <w:tab w:val="right" w:leader="dot" w:pos="8306"/>
          <w:tab w:val="clear" w:pos="8296"/>
        </w:tabs>
      </w:pPr>
      <w:r>
        <w:fldChar w:fldCharType="begin"/>
      </w:r>
      <w:r>
        <w:instrText xml:space="preserve"> HYPERLINK \l _Toc27911 </w:instrText>
      </w:r>
      <w:r>
        <w:fldChar w:fldCharType="separate"/>
      </w:r>
      <w:r>
        <w:rPr>
          <w:rFonts w:ascii="仿宋" w:hAnsi="仿宋" w:eastAsia="仿宋"/>
          <w:bCs w:val="0"/>
          <w:szCs w:val="30"/>
        </w:rPr>
        <w:t xml:space="preserve">6. </w:t>
      </w:r>
      <w:r>
        <w:rPr>
          <w:rFonts w:hint="eastAsia" w:ascii="仿宋" w:hAnsi="仿宋" w:eastAsia="仿宋"/>
          <w:bCs w:val="0"/>
          <w:szCs w:val="30"/>
          <w:highlight w:val="none"/>
        </w:rPr>
        <w:t>上海世茂物联网科技有限公司</w:t>
      </w:r>
      <w:r>
        <w:tab/>
      </w:r>
      <w:r>
        <w:fldChar w:fldCharType="begin"/>
      </w:r>
      <w:r>
        <w:instrText xml:space="preserve"> PAGEREF _Toc27911 \h </w:instrText>
      </w:r>
      <w:r>
        <w:fldChar w:fldCharType="separate"/>
      </w:r>
      <w:r>
        <w:t>7</w:t>
      </w:r>
      <w:r>
        <w:fldChar w:fldCharType="end"/>
      </w:r>
      <w:r>
        <w:fldChar w:fldCharType="end"/>
      </w:r>
    </w:p>
    <w:p>
      <w:pPr>
        <w:pStyle w:val="22"/>
        <w:tabs>
          <w:tab w:val="right" w:leader="dot" w:pos="8306"/>
          <w:tab w:val="clear" w:pos="8296"/>
        </w:tabs>
      </w:pPr>
      <w:r>
        <w:fldChar w:fldCharType="begin"/>
      </w:r>
      <w:r>
        <w:instrText xml:space="preserve"> HYPERLINK \l _Toc4253 </w:instrText>
      </w:r>
      <w:r>
        <w:fldChar w:fldCharType="separate"/>
      </w:r>
      <w:r>
        <w:rPr>
          <w:rFonts w:hint="eastAsia" w:ascii="仿宋" w:hAnsi="仿宋" w:eastAsia="仿宋"/>
          <w:bCs w:val="0"/>
          <w:szCs w:val="30"/>
        </w:rPr>
        <w:t xml:space="preserve">7. </w:t>
      </w:r>
      <w:r>
        <w:rPr>
          <w:rFonts w:hint="eastAsia" w:ascii="仿宋" w:hAnsi="仿宋" w:eastAsia="仿宋"/>
          <w:bCs w:val="0"/>
          <w:szCs w:val="30"/>
          <w:highlight w:val="none"/>
        </w:rPr>
        <w:t>上海远韬软件科技有限公司</w:t>
      </w:r>
      <w:r>
        <w:tab/>
      </w:r>
      <w:r>
        <w:fldChar w:fldCharType="begin"/>
      </w:r>
      <w:r>
        <w:instrText xml:space="preserve"> PAGEREF _Toc4253 \h </w:instrText>
      </w:r>
      <w:r>
        <w:fldChar w:fldCharType="separate"/>
      </w:r>
      <w:r>
        <w:t>8</w:t>
      </w:r>
      <w:r>
        <w:fldChar w:fldCharType="end"/>
      </w:r>
      <w:r>
        <w:fldChar w:fldCharType="end"/>
      </w:r>
    </w:p>
    <w:p>
      <w:pPr>
        <w:pStyle w:val="22"/>
        <w:tabs>
          <w:tab w:val="right" w:leader="dot" w:pos="8306"/>
          <w:tab w:val="clear" w:pos="8296"/>
        </w:tabs>
      </w:pPr>
      <w:r>
        <w:fldChar w:fldCharType="begin"/>
      </w:r>
      <w:r>
        <w:instrText xml:space="preserve"> HYPERLINK \l _Toc11706 </w:instrText>
      </w:r>
      <w:r>
        <w:fldChar w:fldCharType="separate"/>
      </w:r>
      <w:r>
        <w:rPr>
          <w:rFonts w:ascii="仿宋" w:hAnsi="仿宋" w:eastAsia="仿宋"/>
          <w:bCs w:val="0"/>
          <w:szCs w:val="30"/>
        </w:rPr>
        <w:t xml:space="preserve">8. </w:t>
      </w:r>
      <w:r>
        <w:rPr>
          <w:rFonts w:hint="eastAsia" w:ascii="仿宋" w:hAnsi="仿宋" w:eastAsia="仿宋"/>
          <w:bCs w:val="0"/>
          <w:szCs w:val="30"/>
          <w:highlight w:val="none"/>
        </w:rPr>
        <w:t>黑龙江省佳电自研科技开发有限公司</w:t>
      </w:r>
      <w:r>
        <w:tab/>
      </w:r>
      <w:r>
        <w:fldChar w:fldCharType="begin"/>
      </w:r>
      <w:r>
        <w:instrText xml:space="preserve"> PAGEREF _Toc11706 \h </w:instrText>
      </w:r>
      <w:r>
        <w:fldChar w:fldCharType="separate"/>
      </w:r>
      <w:r>
        <w:t>9</w:t>
      </w:r>
      <w:r>
        <w:fldChar w:fldCharType="end"/>
      </w:r>
      <w:r>
        <w:fldChar w:fldCharType="end"/>
      </w:r>
    </w:p>
    <w:p>
      <w:pPr>
        <w:pStyle w:val="22"/>
        <w:tabs>
          <w:tab w:val="right" w:leader="dot" w:pos="8306"/>
          <w:tab w:val="clear" w:pos="8296"/>
        </w:tabs>
      </w:pPr>
      <w:r>
        <w:fldChar w:fldCharType="begin"/>
      </w:r>
      <w:r>
        <w:instrText xml:space="preserve"> HYPERLINK \l _Toc2679 </w:instrText>
      </w:r>
      <w:r>
        <w:fldChar w:fldCharType="separate"/>
      </w:r>
      <w:r>
        <w:rPr>
          <w:rFonts w:ascii="仿宋" w:hAnsi="仿宋" w:eastAsia="仿宋"/>
          <w:bCs w:val="0"/>
          <w:szCs w:val="30"/>
        </w:rPr>
        <w:t xml:space="preserve">9. </w:t>
      </w:r>
      <w:r>
        <w:rPr>
          <w:rFonts w:hint="eastAsia" w:ascii="仿宋" w:hAnsi="仿宋" w:eastAsia="仿宋"/>
          <w:bCs w:val="0"/>
          <w:szCs w:val="30"/>
          <w:highlight w:val="none"/>
        </w:rPr>
        <w:t>万达信息股份有限公司</w:t>
      </w:r>
      <w:r>
        <w:tab/>
      </w:r>
      <w:r>
        <w:fldChar w:fldCharType="begin"/>
      </w:r>
      <w:r>
        <w:instrText xml:space="preserve"> PAGEREF _Toc2679 \h </w:instrText>
      </w:r>
      <w:r>
        <w:fldChar w:fldCharType="separate"/>
      </w:r>
      <w:r>
        <w:t>10</w:t>
      </w:r>
      <w:r>
        <w:fldChar w:fldCharType="end"/>
      </w:r>
      <w:r>
        <w:fldChar w:fldCharType="end"/>
      </w:r>
    </w:p>
    <w:p>
      <w:pPr>
        <w:pStyle w:val="22"/>
        <w:tabs>
          <w:tab w:val="right" w:leader="dot" w:pos="8306"/>
          <w:tab w:val="clear" w:pos="8296"/>
        </w:tabs>
      </w:pPr>
      <w:r>
        <w:fldChar w:fldCharType="begin"/>
      </w:r>
      <w:r>
        <w:instrText xml:space="preserve"> HYPERLINK \l _Toc13561 </w:instrText>
      </w:r>
      <w:r>
        <w:fldChar w:fldCharType="separate"/>
      </w:r>
      <w:r>
        <w:rPr>
          <w:rFonts w:ascii="仿宋" w:hAnsi="仿宋" w:eastAsia="仿宋"/>
          <w:bCs w:val="0"/>
          <w:szCs w:val="30"/>
        </w:rPr>
        <w:t xml:space="preserve">10. </w:t>
      </w:r>
      <w:r>
        <w:rPr>
          <w:rFonts w:hint="eastAsia" w:ascii="仿宋" w:hAnsi="仿宋" w:eastAsia="仿宋"/>
          <w:bCs w:val="0"/>
          <w:szCs w:val="30"/>
          <w:highlight w:val="none"/>
        </w:rPr>
        <w:t>内蒙古伊泰信息技术有限公司</w:t>
      </w:r>
      <w:r>
        <w:tab/>
      </w:r>
      <w:r>
        <w:fldChar w:fldCharType="begin"/>
      </w:r>
      <w:r>
        <w:instrText xml:space="preserve"> PAGEREF _Toc13561 \h </w:instrText>
      </w:r>
      <w:r>
        <w:fldChar w:fldCharType="separate"/>
      </w:r>
      <w:r>
        <w:t>11</w:t>
      </w:r>
      <w:r>
        <w:fldChar w:fldCharType="end"/>
      </w:r>
      <w:r>
        <w:fldChar w:fldCharType="end"/>
      </w:r>
    </w:p>
    <w:p>
      <w:pPr>
        <w:pStyle w:val="22"/>
        <w:tabs>
          <w:tab w:val="right" w:leader="dot" w:pos="8306"/>
          <w:tab w:val="clear" w:pos="8296"/>
        </w:tabs>
      </w:pPr>
      <w:r>
        <w:fldChar w:fldCharType="begin"/>
      </w:r>
      <w:r>
        <w:instrText xml:space="preserve"> HYPERLINK \l _Toc7289 </w:instrText>
      </w:r>
      <w:r>
        <w:fldChar w:fldCharType="separate"/>
      </w:r>
      <w:r>
        <w:rPr>
          <w:rFonts w:ascii="仿宋" w:hAnsi="仿宋" w:eastAsia="仿宋"/>
          <w:bCs w:val="0"/>
          <w:szCs w:val="30"/>
        </w:rPr>
        <w:t xml:space="preserve">11. </w:t>
      </w:r>
      <w:r>
        <w:rPr>
          <w:rFonts w:hint="eastAsia" w:ascii="仿宋" w:hAnsi="仿宋" w:eastAsia="仿宋"/>
          <w:bCs w:val="0"/>
          <w:szCs w:val="30"/>
          <w:highlight w:val="none"/>
        </w:rPr>
        <w:t>成都西加云杉科技有限公司</w:t>
      </w:r>
      <w:r>
        <w:tab/>
      </w:r>
      <w:r>
        <w:fldChar w:fldCharType="begin"/>
      </w:r>
      <w:r>
        <w:instrText xml:space="preserve"> PAGEREF _Toc7289 \h </w:instrText>
      </w:r>
      <w:r>
        <w:fldChar w:fldCharType="separate"/>
      </w:r>
      <w:r>
        <w:t>12</w:t>
      </w:r>
      <w:r>
        <w:fldChar w:fldCharType="end"/>
      </w:r>
      <w:r>
        <w:fldChar w:fldCharType="end"/>
      </w:r>
    </w:p>
    <w:p>
      <w:pPr>
        <w:pStyle w:val="22"/>
        <w:tabs>
          <w:tab w:val="right" w:leader="dot" w:pos="8306"/>
          <w:tab w:val="clear" w:pos="8296"/>
        </w:tabs>
      </w:pPr>
      <w:r>
        <w:fldChar w:fldCharType="begin"/>
      </w:r>
      <w:r>
        <w:instrText xml:space="preserve"> HYPERLINK \l _Toc30036 </w:instrText>
      </w:r>
      <w:r>
        <w:fldChar w:fldCharType="separate"/>
      </w:r>
      <w:r>
        <w:rPr>
          <w:rFonts w:ascii="仿宋" w:hAnsi="仿宋" w:eastAsia="仿宋"/>
          <w:bCs w:val="0"/>
          <w:szCs w:val="30"/>
        </w:rPr>
        <w:t xml:space="preserve">12. </w:t>
      </w:r>
      <w:r>
        <w:rPr>
          <w:rFonts w:hint="eastAsia" w:ascii="仿宋" w:hAnsi="仿宋" w:eastAsia="仿宋"/>
          <w:bCs w:val="0"/>
          <w:szCs w:val="30"/>
          <w:highlight w:val="none"/>
        </w:rPr>
        <w:t>北京海航中软科技有限公司</w:t>
      </w:r>
      <w:r>
        <w:tab/>
      </w:r>
      <w:r>
        <w:fldChar w:fldCharType="begin"/>
      </w:r>
      <w:r>
        <w:instrText xml:space="preserve"> PAGEREF _Toc30036 \h </w:instrText>
      </w:r>
      <w:r>
        <w:fldChar w:fldCharType="separate"/>
      </w:r>
      <w:r>
        <w:t>13</w:t>
      </w:r>
      <w:r>
        <w:fldChar w:fldCharType="end"/>
      </w:r>
      <w:r>
        <w:fldChar w:fldCharType="end"/>
      </w:r>
    </w:p>
    <w:p>
      <w:pPr>
        <w:pStyle w:val="22"/>
        <w:tabs>
          <w:tab w:val="right" w:leader="dot" w:pos="8306"/>
          <w:tab w:val="clear" w:pos="8296"/>
        </w:tabs>
      </w:pPr>
      <w:r>
        <w:fldChar w:fldCharType="begin"/>
      </w:r>
      <w:r>
        <w:instrText xml:space="preserve"> HYPERLINK \l _Toc12123 </w:instrText>
      </w:r>
      <w:r>
        <w:fldChar w:fldCharType="separate"/>
      </w:r>
      <w:r>
        <w:rPr>
          <w:rFonts w:ascii="仿宋" w:hAnsi="仿宋" w:eastAsia="仿宋"/>
          <w:bCs w:val="0"/>
          <w:szCs w:val="30"/>
        </w:rPr>
        <w:t xml:space="preserve">13. </w:t>
      </w:r>
      <w:r>
        <w:rPr>
          <w:rFonts w:hint="eastAsia" w:ascii="仿宋" w:hAnsi="仿宋" w:eastAsia="仿宋"/>
          <w:bCs w:val="0"/>
          <w:szCs w:val="30"/>
          <w:highlight w:val="none"/>
        </w:rPr>
        <w:t>合肥达朴汇联科技有限公司</w:t>
      </w:r>
      <w:r>
        <w:rPr>
          <w:rFonts w:ascii="Calibri" w:hAnsi="Calibri" w:eastAsia="仿宋" w:cs="Calibri"/>
          <w:bCs w:val="0"/>
          <w:szCs w:val="30"/>
          <w:highlight w:val="none"/>
        </w:rPr>
        <w:t> </w:t>
      </w:r>
      <w:r>
        <w:tab/>
      </w:r>
      <w:r>
        <w:fldChar w:fldCharType="begin"/>
      </w:r>
      <w:r>
        <w:instrText xml:space="preserve"> PAGEREF _Toc12123 \h </w:instrText>
      </w:r>
      <w:r>
        <w:fldChar w:fldCharType="separate"/>
      </w:r>
      <w:r>
        <w:t>14</w:t>
      </w:r>
      <w:r>
        <w:fldChar w:fldCharType="end"/>
      </w:r>
      <w:r>
        <w:fldChar w:fldCharType="end"/>
      </w:r>
    </w:p>
    <w:p>
      <w:pPr>
        <w:pStyle w:val="22"/>
        <w:tabs>
          <w:tab w:val="right" w:leader="dot" w:pos="8306"/>
          <w:tab w:val="clear" w:pos="8296"/>
        </w:tabs>
      </w:pPr>
      <w:r>
        <w:fldChar w:fldCharType="begin"/>
      </w:r>
      <w:r>
        <w:instrText xml:space="preserve"> HYPERLINK \l _Toc7019 </w:instrText>
      </w:r>
      <w:r>
        <w:fldChar w:fldCharType="separate"/>
      </w:r>
      <w:r>
        <w:rPr>
          <w:rFonts w:ascii="仿宋" w:hAnsi="仿宋" w:eastAsia="仿宋"/>
          <w:bCs w:val="0"/>
          <w:szCs w:val="30"/>
        </w:rPr>
        <w:t xml:space="preserve">14. </w:t>
      </w:r>
      <w:r>
        <w:rPr>
          <w:rFonts w:hint="eastAsia" w:ascii="仿宋" w:hAnsi="仿宋" w:eastAsia="仿宋"/>
          <w:bCs w:val="0"/>
          <w:szCs w:val="30"/>
          <w:highlight w:val="none"/>
        </w:rPr>
        <w:t>北京瑞鹏天乘信息技术有限公司</w:t>
      </w:r>
      <w:r>
        <w:tab/>
      </w:r>
      <w:r>
        <w:fldChar w:fldCharType="begin"/>
      </w:r>
      <w:r>
        <w:instrText xml:space="preserve"> PAGEREF _Toc7019 \h </w:instrText>
      </w:r>
      <w:r>
        <w:fldChar w:fldCharType="separate"/>
      </w:r>
      <w:r>
        <w:t>15</w:t>
      </w:r>
      <w:r>
        <w:fldChar w:fldCharType="end"/>
      </w:r>
      <w:r>
        <w:fldChar w:fldCharType="end"/>
      </w:r>
    </w:p>
    <w:p>
      <w:pPr>
        <w:pStyle w:val="22"/>
        <w:tabs>
          <w:tab w:val="right" w:leader="dot" w:pos="8306"/>
          <w:tab w:val="clear" w:pos="8296"/>
        </w:tabs>
      </w:pPr>
      <w:r>
        <w:fldChar w:fldCharType="begin"/>
      </w:r>
      <w:r>
        <w:instrText xml:space="preserve"> HYPERLINK \l _Toc4350 </w:instrText>
      </w:r>
      <w:r>
        <w:fldChar w:fldCharType="separate"/>
      </w:r>
      <w:r>
        <w:rPr>
          <w:rFonts w:ascii="仿宋" w:hAnsi="仿宋" w:eastAsia="仿宋"/>
          <w:bCs w:val="0"/>
          <w:szCs w:val="30"/>
        </w:rPr>
        <w:t xml:space="preserve">15. </w:t>
      </w:r>
      <w:r>
        <w:rPr>
          <w:rFonts w:hint="eastAsia" w:ascii="仿宋" w:hAnsi="仿宋" w:eastAsia="仿宋"/>
          <w:bCs w:val="0"/>
          <w:szCs w:val="30"/>
          <w:highlight w:val="none"/>
        </w:rPr>
        <w:t>北京诚公管理咨询有限公司</w:t>
      </w:r>
      <w:r>
        <w:tab/>
      </w:r>
      <w:r>
        <w:fldChar w:fldCharType="begin"/>
      </w:r>
      <w:r>
        <w:instrText xml:space="preserve"> PAGEREF _Toc4350 \h </w:instrText>
      </w:r>
      <w:r>
        <w:fldChar w:fldCharType="separate"/>
      </w:r>
      <w:r>
        <w:t>16</w:t>
      </w:r>
      <w:r>
        <w:fldChar w:fldCharType="end"/>
      </w:r>
      <w:r>
        <w:fldChar w:fldCharType="end"/>
      </w:r>
    </w:p>
    <w:p>
      <w:pPr>
        <w:pStyle w:val="22"/>
        <w:tabs>
          <w:tab w:val="right" w:leader="dot" w:pos="8306"/>
          <w:tab w:val="clear" w:pos="8296"/>
        </w:tabs>
      </w:pPr>
      <w:r>
        <w:fldChar w:fldCharType="begin"/>
      </w:r>
      <w:r>
        <w:instrText xml:space="preserve"> HYPERLINK \l _Toc10860 </w:instrText>
      </w:r>
      <w:r>
        <w:fldChar w:fldCharType="separate"/>
      </w:r>
      <w:r>
        <w:rPr>
          <w:rFonts w:ascii="仿宋" w:hAnsi="仿宋" w:eastAsia="仿宋"/>
          <w:bCs w:val="0"/>
          <w:szCs w:val="30"/>
        </w:rPr>
        <w:t xml:space="preserve">16. </w:t>
      </w:r>
      <w:r>
        <w:rPr>
          <w:rFonts w:hint="eastAsia" w:ascii="仿宋" w:hAnsi="仿宋" w:eastAsia="仿宋"/>
          <w:bCs w:val="0"/>
          <w:szCs w:val="30"/>
          <w:highlight w:val="none"/>
        </w:rPr>
        <w:t>广州珂诚信息技术有限公司</w:t>
      </w:r>
      <w:r>
        <w:tab/>
      </w:r>
      <w:r>
        <w:fldChar w:fldCharType="begin"/>
      </w:r>
      <w:r>
        <w:instrText xml:space="preserve"> PAGEREF _Toc10860 \h </w:instrText>
      </w:r>
      <w:r>
        <w:fldChar w:fldCharType="separate"/>
      </w:r>
      <w:r>
        <w:t>16</w:t>
      </w:r>
      <w:r>
        <w:fldChar w:fldCharType="end"/>
      </w:r>
      <w:r>
        <w:fldChar w:fldCharType="end"/>
      </w:r>
    </w:p>
    <w:p>
      <w:pPr>
        <w:pStyle w:val="22"/>
        <w:tabs>
          <w:tab w:val="right" w:leader="dot" w:pos="8306"/>
          <w:tab w:val="clear" w:pos="8296"/>
        </w:tabs>
      </w:pPr>
      <w:r>
        <w:fldChar w:fldCharType="begin"/>
      </w:r>
      <w:r>
        <w:instrText xml:space="preserve"> HYPERLINK \l _Toc14688 </w:instrText>
      </w:r>
      <w:r>
        <w:fldChar w:fldCharType="separate"/>
      </w:r>
      <w:r>
        <w:rPr>
          <w:rFonts w:ascii="仿宋" w:hAnsi="仿宋" w:eastAsia="仿宋"/>
          <w:bCs w:val="0"/>
          <w:szCs w:val="30"/>
        </w:rPr>
        <w:t xml:space="preserve">17. </w:t>
      </w:r>
      <w:r>
        <w:rPr>
          <w:rFonts w:hint="eastAsia" w:ascii="仿宋" w:hAnsi="仿宋" w:eastAsia="仿宋"/>
          <w:bCs w:val="0"/>
          <w:szCs w:val="30"/>
          <w:highlight w:val="none"/>
        </w:rPr>
        <w:t>深圳市中物互联技术发展有限公司</w:t>
      </w:r>
      <w:r>
        <w:tab/>
      </w:r>
      <w:r>
        <w:fldChar w:fldCharType="begin"/>
      </w:r>
      <w:r>
        <w:instrText xml:space="preserve"> PAGEREF _Toc14688 \h </w:instrText>
      </w:r>
      <w:r>
        <w:fldChar w:fldCharType="separate"/>
      </w:r>
      <w:r>
        <w:t>17</w:t>
      </w:r>
      <w:r>
        <w:fldChar w:fldCharType="end"/>
      </w:r>
      <w:r>
        <w:fldChar w:fldCharType="end"/>
      </w:r>
    </w:p>
    <w:p>
      <w:pPr>
        <w:pStyle w:val="22"/>
        <w:tabs>
          <w:tab w:val="right" w:leader="dot" w:pos="8306"/>
          <w:tab w:val="clear" w:pos="8296"/>
        </w:tabs>
      </w:pPr>
      <w:r>
        <w:fldChar w:fldCharType="begin"/>
      </w:r>
      <w:r>
        <w:instrText xml:space="preserve"> HYPERLINK \l _Toc23999 </w:instrText>
      </w:r>
      <w:r>
        <w:fldChar w:fldCharType="separate"/>
      </w:r>
      <w:r>
        <w:rPr>
          <w:rFonts w:ascii="仿宋" w:hAnsi="仿宋" w:eastAsia="仿宋"/>
          <w:bCs w:val="0"/>
          <w:szCs w:val="30"/>
        </w:rPr>
        <w:t xml:space="preserve">18. </w:t>
      </w:r>
      <w:r>
        <w:rPr>
          <w:rFonts w:hint="eastAsia" w:ascii="仿宋" w:hAnsi="仿宋" w:eastAsia="仿宋"/>
          <w:bCs w:val="0"/>
          <w:szCs w:val="30"/>
          <w:highlight w:val="none"/>
        </w:rPr>
        <w:t>广西九维时空数字产业发展有限公司</w:t>
      </w:r>
      <w:r>
        <w:tab/>
      </w:r>
      <w:r>
        <w:fldChar w:fldCharType="begin"/>
      </w:r>
      <w:r>
        <w:instrText xml:space="preserve"> PAGEREF _Toc23999 \h </w:instrText>
      </w:r>
      <w:r>
        <w:fldChar w:fldCharType="separate"/>
      </w:r>
      <w:r>
        <w:t>18</w:t>
      </w:r>
      <w:r>
        <w:fldChar w:fldCharType="end"/>
      </w:r>
      <w:r>
        <w:fldChar w:fldCharType="end"/>
      </w:r>
    </w:p>
    <w:p>
      <w:pPr>
        <w:pStyle w:val="22"/>
        <w:tabs>
          <w:tab w:val="right" w:leader="dot" w:pos="8306"/>
          <w:tab w:val="clear" w:pos="8296"/>
        </w:tabs>
      </w:pPr>
      <w:r>
        <w:fldChar w:fldCharType="begin"/>
      </w:r>
      <w:r>
        <w:instrText xml:space="preserve"> HYPERLINK \l _Toc5149 </w:instrText>
      </w:r>
      <w:r>
        <w:fldChar w:fldCharType="separate"/>
      </w:r>
      <w:r>
        <w:rPr>
          <w:rFonts w:ascii="仿宋" w:hAnsi="仿宋" w:eastAsia="仿宋"/>
          <w:bCs w:val="0"/>
          <w:szCs w:val="30"/>
        </w:rPr>
        <w:t xml:space="preserve">19. </w:t>
      </w:r>
      <w:r>
        <w:rPr>
          <w:rFonts w:hint="eastAsia" w:ascii="仿宋" w:hAnsi="仿宋" w:eastAsia="仿宋"/>
          <w:bCs w:val="0"/>
          <w:szCs w:val="30"/>
          <w:highlight w:val="none"/>
        </w:rPr>
        <w:t>码客工场工业科技（北京）有限公司</w:t>
      </w:r>
      <w:r>
        <w:tab/>
      </w:r>
      <w:r>
        <w:fldChar w:fldCharType="begin"/>
      </w:r>
      <w:r>
        <w:instrText xml:space="preserve"> PAGEREF _Toc5149 \h </w:instrText>
      </w:r>
      <w:r>
        <w:fldChar w:fldCharType="separate"/>
      </w:r>
      <w:r>
        <w:t>19</w:t>
      </w:r>
      <w:r>
        <w:fldChar w:fldCharType="end"/>
      </w:r>
      <w:r>
        <w:fldChar w:fldCharType="end"/>
      </w:r>
    </w:p>
    <w:p>
      <w:pPr>
        <w:pStyle w:val="22"/>
        <w:tabs>
          <w:tab w:val="right" w:leader="dot" w:pos="8306"/>
          <w:tab w:val="clear" w:pos="8296"/>
        </w:tabs>
      </w:pPr>
      <w:r>
        <w:fldChar w:fldCharType="begin"/>
      </w:r>
      <w:r>
        <w:instrText xml:space="preserve"> HYPERLINK \l _Toc258 </w:instrText>
      </w:r>
      <w:r>
        <w:fldChar w:fldCharType="separate"/>
      </w:r>
      <w:r>
        <w:rPr>
          <w:rFonts w:hint="eastAsia" w:ascii="仿宋" w:hAnsi="仿宋" w:eastAsia="仿宋"/>
          <w:bCs w:val="0"/>
          <w:szCs w:val="30"/>
        </w:rPr>
        <w:t xml:space="preserve">20. </w:t>
      </w:r>
      <w:r>
        <w:rPr>
          <w:rFonts w:hint="eastAsia" w:ascii="仿宋" w:hAnsi="仿宋" w:eastAsia="仿宋"/>
          <w:bCs w:val="0"/>
          <w:szCs w:val="30"/>
          <w:highlight w:val="none"/>
        </w:rPr>
        <w:t>广州市锐赛科技有限公司</w:t>
      </w:r>
      <w:r>
        <w:tab/>
      </w:r>
      <w:r>
        <w:fldChar w:fldCharType="begin"/>
      </w:r>
      <w:r>
        <w:instrText xml:space="preserve"> PAGEREF _Toc258 \h </w:instrText>
      </w:r>
      <w:r>
        <w:fldChar w:fldCharType="separate"/>
      </w:r>
      <w:r>
        <w:t>20</w:t>
      </w:r>
      <w:r>
        <w:fldChar w:fldCharType="end"/>
      </w:r>
      <w:r>
        <w:fldChar w:fldCharType="end"/>
      </w:r>
    </w:p>
    <w:p>
      <w:pPr>
        <w:pStyle w:val="22"/>
        <w:tabs>
          <w:tab w:val="right" w:leader="dot" w:pos="8306"/>
          <w:tab w:val="clear" w:pos="8296"/>
        </w:tabs>
      </w:pPr>
      <w:r>
        <w:fldChar w:fldCharType="begin"/>
      </w:r>
      <w:r>
        <w:instrText xml:space="preserve"> HYPERLINK \l _Toc23309 </w:instrText>
      </w:r>
      <w:r>
        <w:fldChar w:fldCharType="separate"/>
      </w:r>
      <w:r>
        <w:rPr>
          <w:rFonts w:hint="eastAsia" w:ascii="仿宋" w:hAnsi="仿宋" w:eastAsia="仿宋"/>
          <w:bCs w:val="0"/>
          <w:szCs w:val="30"/>
        </w:rPr>
        <w:t xml:space="preserve">21. </w:t>
      </w:r>
      <w:r>
        <w:rPr>
          <w:rFonts w:hint="eastAsia" w:ascii="仿宋" w:hAnsi="仿宋" w:eastAsia="仿宋"/>
          <w:bCs w:val="0"/>
          <w:szCs w:val="30"/>
          <w:highlight w:val="none"/>
        </w:rPr>
        <w:t>大连云数据科技有限公司</w:t>
      </w:r>
      <w:r>
        <w:tab/>
      </w:r>
      <w:r>
        <w:fldChar w:fldCharType="begin"/>
      </w:r>
      <w:r>
        <w:instrText xml:space="preserve"> PAGEREF _Toc23309 \h </w:instrText>
      </w:r>
      <w:r>
        <w:fldChar w:fldCharType="separate"/>
      </w:r>
      <w:r>
        <w:t>21</w:t>
      </w:r>
      <w:r>
        <w:fldChar w:fldCharType="end"/>
      </w:r>
      <w:r>
        <w:fldChar w:fldCharType="end"/>
      </w:r>
    </w:p>
    <w:p>
      <w:pPr>
        <w:pStyle w:val="22"/>
        <w:tabs>
          <w:tab w:val="right" w:leader="dot" w:pos="8306"/>
          <w:tab w:val="clear" w:pos="8296"/>
        </w:tabs>
      </w:pPr>
      <w:r>
        <w:fldChar w:fldCharType="begin"/>
      </w:r>
      <w:r>
        <w:instrText xml:space="preserve"> HYPERLINK \l _Toc14506 </w:instrText>
      </w:r>
      <w:r>
        <w:fldChar w:fldCharType="separate"/>
      </w:r>
      <w:r>
        <w:rPr>
          <w:rFonts w:hint="eastAsia" w:ascii="仿宋" w:hAnsi="仿宋" w:eastAsia="仿宋"/>
          <w:bCs w:val="0"/>
          <w:szCs w:val="30"/>
        </w:rPr>
        <w:t xml:space="preserve">22. </w:t>
      </w:r>
      <w:r>
        <w:rPr>
          <w:rFonts w:hint="eastAsia" w:ascii="仿宋" w:hAnsi="仿宋" w:eastAsia="仿宋"/>
          <w:bCs w:val="0"/>
          <w:szCs w:val="30"/>
          <w:highlight w:val="none"/>
        </w:rPr>
        <w:t>广东中设智控科技股份有限公司</w:t>
      </w:r>
      <w:r>
        <w:tab/>
      </w:r>
      <w:r>
        <w:fldChar w:fldCharType="begin"/>
      </w:r>
      <w:r>
        <w:instrText xml:space="preserve"> PAGEREF _Toc14506 \h </w:instrText>
      </w:r>
      <w:r>
        <w:fldChar w:fldCharType="separate"/>
      </w:r>
      <w:r>
        <w:t>21</w:t>
      </w:r>
      <w:r>
        <w:fldChar w:fldCharType="end"/>
      </w:r>
      <w:r>
        <w:fldChar w:fldCharType="end"/>
      </w:r>
    </w:p>
    <w:p>
      <w:pPr>
        <w:pStyle w:val="22"/>
        <w:tabs>
          <w:tab w:val="right" w:leader="dot" w:pos="8306"/>
          <w:tab w:val="clear" w:pos="8296"/>
        </w:tabs>
      </w:pPr>
      <w:r>
        <w:fldChar w:fldCharType="begin"/>
      </w:r>
      <w:r>
        <w:instrText xml:space="preserve"> HYPERLINK \l _Toc12995 </w:instrText>
      </w:r>
      <w:r>
        <w:fldChar w:fldCharType="separate"/>
      </w:r>
      <w:r>
        <w:rPr>
          <w:rFonts w:hint="eastAsia" w:ascii="仿宋" w:hAnsi="仿宋" w:eastAsia="仿宋"/>
          <w:bCs w:val="0"/>
          <w:szCs w:val="30"/>
        </w:rPr>
        <w:t xml:space="preserve">23. </w:t>
      </w:r>
      <w:r>
        <w:rPr>
          <w:rFonts w:hint="eastAsia" w:ascii="仿宋" w:hAnsi="仿宋" w:eastAsia="仿宋"/>
          <w:bCs w:val="0"/>
          <w:szCs w:val="30"/>
          <w:highlight w:val="none"/>
        </w:rPr>
        <w:t>北京国基科技股份有限公司</w:t>
      </w:r>
      <w:r>
        <w:tab/>
      </w:r>
      <w:r>
        <w:fldChar w:fldCharType="begin"/>
      </w:r>
      <w:r>
        <w:instrText xml:space="preserve"> PAGEREF _Toc12995 \h </w:instrText>
      </w:r>
      <w:r>
        <w:fldChar w:fldCharType="separate"/>
      </w:r>
      <w:r>
        <w:t>22</w:t>
      </w:r>
      <w:r>
        <w:fldChar w:fldCharType="end"/>
      </w:r>
      <w:r>
        <w:fldChar w:fldCharType="end"/>
      </w:r>
    </w:p>
    <w:p>
      <w:pPr>
        <w:pStyle w:val="22"/>
        <w:tabs>
          <w:tab w:val="right" w:leader="dot" w:pos="8306"/>
          <w:tab w:val="clear" w:pos="8296"/>
        </w:tabs>
      </w:pPr>
      <w:r>
        <w:fldChar w:fldCharType="begin"/>
      </w:r>
      <w:r>
        <w:instrText xml:space="preserve"> HYPERLINK \l _Toc18712 </w:instrText>
      </w:r>
      <w:r>
        <w:fldChar w:fldCharType="separate"/>
      </w:r>
      <w:r>
        <w:rPr>
          <w:rFonts w:ascii="仿宋" w:hAnsi="仿宋" w:eastAsia="仿宋"/>
          <w:bCs w:val="0"/>
          <w:szCs w:val="30"/>
        </w:rPr>
        <w:t xml:space="preserve">24. </w:t>
      </w:r>
      <w:r>
        <w:rPr>
          <w:rFonts w:hint="eastAsia" w:ascii="仿宋" w:hAnsi="仿宋" w:eastAsia="仿宋"/>
          <w:bCs w:val="0"/>
          <w:szCs w:val="30"/>
          <w:highlight w:val="none"/>
        </w:rPr>
        <w:t>深圳市杉岩数据技术有限公司</w:t>
      </w:r>
      <w:r>
        <w:tab/>
      </w:r>
      <w:r>
        <w:fldChar w:fldCharType="begin"/>
      </w:r>
      <w:r>
        <w:instrText xml:space="preserve"> PAGEREF _Toc18712 \h </w:instrText>
      </w:r>
      <w:r>
        <w:fldChar w:fldCharType="separate"/>
      </w:r>
      <w:r>
        <w:t>23</w:t>
      </w:r>
      <w:r>
        <w:fldChar w:fldCharType="end"/>
      </w:r>
      <w:r>
        <w:fldChar w:fldCharType="end"/>
      </w:r>
    </w:p>
    <w:p>
      <w:pPr>
        <w:pStyle w:val="22"/>
        <w:tabs>
          <w:tab w:val="right" w:leader="dot" w:pos="8306"/>
          <w:tab w:val="clear" w:pos="8296"/>
        </w:tabs>
      </w:pPr>
      <w:r>
        <w:fldChar w:fldCharType="begin"/>
      </w:r>
      <w:r>
        <w:instrText xml:space="preserve"> HYPERLINK \l _Toc32750 </w:instrText>
      </w:r>
      <w:r>
        <w:fldChar w:fldCharType="separate"/>
      </w:r>
      <w:r>
        <w:rPr>
          <w:rFonts w:hint="eastAsia" w:ascii="仿宋" w:hAnsi="仿宋" w:eastAsia="仿宋"/>
          <w:bCs w:val="0"/>
          <w:szCs w:val="30"/>
        </w:rPr>
        <w:t xml:space="preserve">25. </w:t>
      </w:r>
      <w:r>
        <w:rPr>
          <w:rFonts w:hint="eastAsia" w:ascii="仿宋" w:hAnsi="仿宋" w:eastAsia="仿宋"/>
          <w:bCs w:val="0"/>
          <w:szCs w:val="30"/>
          <w:highlight w:val="none"/>
        </w:rPr>
        <w:t>重庆云江工业互联网有限公司</w:t>
      </w:r>
      <w:r>
        <w:tab/>
      </w:r>
      <w:r>
        <w:fldChar w:fldCharType="begin"/>
      </w:r>
      <w:r>
        <w:instrText xml:space="preserve"> PAGEREF _Toc32750 \h </w:instrText>
      </w:r>
      <w:r>
        <w:fldChar w:fldCharType="separate"/>
      </w:r>
      <w:r>
        <w:t>24</w:t>
      </w:r>
      <w:r>
        <w:fldChar w:fldCharType="end"/>
      </w:r>
      <w:r>
        <w:fldChar w:fldCharType="end"/>
      </w:r>
    </w:p>
    <w:p>
      <w:pPr>
        <w:pStyle w:val="22"/>
        <w:tabs>
          <w:tab w:val="right" w:leader="dot" w:pos="8306"/>
          <w:tab w:val="clear" w:pos="8296"/>
        </w:tabs>
      </w:pPr>
      <w:r>
        <w:fldChar w:fldCharType="begin"/>
      </w:r>
      <w:r>
        <w:instrText xml:space="preserve"> HYPERLINK \l _Toc5851 </w:instrText>
      </w:r>
      <w:r>
        <w:fldChar w:fldCharType="separate"/>
      </w:r>
      <w:r>
        <w:rPr>
          <w:rFonts w:hint="eastAsia" w:ascii="仿宋" w:hAnsi="仿宋" w:eastAsia="仿宋"/>
          <w:bCs w:val="0"/>
          <w:szCs w:val="30"/>
          <w:lang w:eastAsia="zh-CN"/>
        </w:rPr>
        <w:t xml:space="preserve">26. </w:t>
      </w:r>
      <w:r>
        <w:rPr>
          <w:rFonts w:hint="eastAsia" w:ascii="仿宋" w:hAnsi="仿宋" w:eastAsia="仿宋"/>
          <w:bCs w:val="0"/>
          <w:szCs w:val="30"/>
          <w:highlight w:val="none"/>
          <w:lang w:eastAsia="zh-CN"/>
        </w:rPr>
        <w:t>中仓登数据服务有限公司</w:t>
      </w:r>
      <w:r>
        <w:tab/>
      </w:r>
      <w:r>
        <w:fldChar w:fldCharType="begin"/>
      </w:r>
      <w:r>
        <w:instrText xml:space="preserve"> PAGEREF _Toc5851 \h </w:instrText>
      </w:r>
      <w:r>
        <w:fldChar w:fldCharType="separate"/>
      </w:r>
      <w:r>
        <w:t>24</w:t>
      </w:r>
      <w:r>
        <w:fldChar w:fldCharType="end"/>
      </w:r>
      <w:r>
        <w:fldChar w:fldCharType="end"/>
      </w:r>
    </w:p>
    <w:p>
      <w:pPr>
        <w:pStyle w:val="22"/>
        <w:tabs>
          <w:tab w:val="right" w:leader="dot" w:pos="8306"/>
          <w:tab w:val="clear" w:pos="8296"/>
        </w:tabs>
      </w:pPr>
      <w:r>
        <w:fldChar w:fldCharType="begin"/>
      </w:r>
      <w:r>
        <w:instrText xml:space="preserve"> HYPERLINK \l _Toc25845 </w:instrText>
      </w:r>
      <w:r>
        <w:fldChar w:fldCharType="separate"/>
      </w:r>
      <w:r>
        <w:rPr>
          <w:rFonts w:hint="eastAsia" w:ascii="仿宋" w:hAnsi="仿宋" w:eastAsia="仿宋"/>
          <w:bCs w:val="0"/>
          <w:szCs w:val="30"/>
          <w:lang w:eastAsia="zh-CN"/>
        </w:rPr>
        <w:t xml:space="preserve">27. </w:t>
      </w:r>
      <w:r>
        <w:rPr>
          <w:rFonts w:hint="eastAsia" w:ascii="仿宋" w:hAnsi="仿宋" w:eastAsia="仿宋"/>
          <w:bCs w:val="0"/>
          <w:szCs w:val="30"/>
          <w:highlight w:val="none"/>
          <w:lang w:eastAsia="zh-CN"/>
        </w:rPr>
        <w:t>北京艾智互联科技有限公司</w:t>
      </w:r>
      <w:r>
        <w:tab/>
      </w:r>
      <w:r>
        <w:fldChar w:fldCharType="begin"/>
      </w:r>
      <w:r>
        <w:instrText xml:space="preserve"> PAGEREF _Toc25845 \h </w:instrText>
      </w:r>
      <w:r>
        <w:fldChar w:fldCharType="separate"/>
      </w:r>
      <w:r>
        <w:t>25</w:t>
      </w:r>
      <w:r>
        <w:fldChar w:fldCharType="end"/>
      </w:r>
      <w:r>
        <w:fldChar w:fldCharType="end"/>
      </w:r>
    </w:p>
    <w:p>
      <w:pPr>
        <w:pStyle w:val="22"/>
        <w:tabs>
          <w:tab w:val="right" w:leader="dot" w:pos="8306"/>
          <w:tab w:val="clear" w:pos="8296"/>
        </w:tabs>
      </w:pPr>
      <w:r>
        <w:fldChar w:fldCharType="begin"/>
      </w:r>
      <w:r>
        <w:instrText xml:space="preserve"> HYPERLINK \l _Toc12916 </w:instrText>
      </w:r>
      <w:r>
        <w:fldChar w:fldCharType="separate"/>
      </w:r>
      <w:r>
        <w:rPr>
          <w:rFonts w:hint="eastAsia" w:ascii="仿宋" w:hAnsi="仿宋" w:eastAsia="仿宋"/>
          <w:bCs w:val="0"/>
          <w:szCs w:val="30"/>
          <w:lang w:eastAsia="zh-CN"/>
        </w:rPr>
        <w:t xml:space="preserve">28. </w:t>
      </w:r>
      <w:r>
        <w:rPr>
          <w:rFonts w:hint="eastAsia" w:ascii="仿宋" w:hAnsi="仿宋" w:eastAsia="仿宋"/>
          <w:bCs w:val="0"/>
          <w:szCs w:val="30"/>
          <w:highlight w:val="none"/>
          <w:lang w:eastAsia="zh-CN"/>
        </w:rPr>
        <w:t>山西省数字证书认证中心（有限公司）</w:t>
      </w:r>
      <w:r>
        <w:tab/>
      </w:r>
      <w:r>
        <w:fldChar w:fldCharType="begin"/>
      </w:r>
      <w:r>
        <w:instrText xml:space="preserve"> PAGEREF _Toc12916 \h </w:instrText>
      </w:r>
      <w:r>
        <w:fldChar w:fldCharType="separate"/>
      </w:r>
      <w:r>
        <w:t>26</w:t>
      </w:r>
      <w:r>
        <w:fldChar w:fldCharType="end"/>
      </w:r>
      <w:r>
        <w:fldChar w:fldCharType="end"/>
      </w:r>
    </w:p>
    <w:p>
      <w:pPr>
        <w:pStyle w:val="22"/>
        <w:tabs>
          <w:tab w:val="right" w:leader="dot" w:pos="8306"/>
          <w:tab w:val="clear" w:pos="8296"/>
        </w:tabs>
      </w:pPr>
      <w:r>
        <w:fldChar w:fldCharType="begin"/>
      </w:r>
      <w:r>
        <w:instrText xml:space="preserve"> HYPERLINK \l _Toc4420 </w:instrText>
      </w:r>
      <w:r>
        <w:fldChar w:fldCharType="separate"/>
      </w:r>
      <w:r>
        <w:rPr>
          <w:rFonts w:hint="eastAsia" w:ascii="仿宋" w:hAnsi="仿宋" w:eastAsia="仿宋"/>
          <w:bCs w:val="0"/>
          <w:szCs w:val="30"/>
        </w:rPr>
        <w:t xml:space="preserve">29. </w:t>
      </w:r>
      <w:r>
        <w:rPr>
          <w:rFonts w:hint="eastAsia" w:ascii="仿宋" w:hAnsi="仿宋" w:eastAsia="仿宋"/>
          <w:bCs w:val="0"/>
          <w:szCs w:val="30"/>
          <w:highlight w:val="none"/>
        </w:rPr>
        <w:t>广州优壹互联科技有限公司</w:t>
      </w:r>
      <w:r>
        <w:tab/>
      </w:r>
      <w:r>
        <w:fldChar w:fldCharType="begin"/>
      </w:r>
      <w:r>
        <w:instrText xml:space="preserve"> PAGEREF _Toc4420 \h </w:instrText>
      </w:r>
      <w:r>
        <w:fldChar w:fldCharType="separate"/>
      </w:r>
      <w:r>
        <w:t>26</w:t>
      </w:r>
      <w:r>
        <w:fldChar w:fldCharType="end"/>
      </w:r>
      <w:r>
        <w:fldChar w:fldCharType="end"/>
      </w:r>
    </w:p>
    <w:p>
      <w:pPr>
        <w:pStyle w:val="22"/>
        <w:tabs>
          <w:tab w:val="right" w:leader="dot" w:pos="8306"/>
          <w:tab w:val="clear" w:pos="8296"/>
        </w:tabs>
      </w:pPr>
      <w:r>
        <w:fldChar w:fldCharType="begin"/>
      </w:r>
      <w:r>
        <w:instrText xml:space="preserve"> HYPERLINK \l _Toc4830 </w:instrText>
      </w:r>
      <w:r>
        <w:fldChar w:fldCharType="separate"/>
      </w:r>
      <w:r>
        <w:rPr>
          <w:rFonts w:ascii="仿宋" w:hAnsi="仿宋" w:eastAsia="仿宋"/>
          <w:bCs w:val="0"/>
          <w:szCs w:val="30"/>
        </w:rPr>
        <w:t xml:space="preserve">30. </w:t>
      </w:r>
      <w:r>
        <w:rPr>
          <w:rFonts w:hint="eastAsia" w:ascii="仿宋" w:hAnsi="仿宋" w:eastAsia="仿宋"/>
          <w:bCs w:val="0"/>
          <w:szCs w:val="30"/>
          <w:highlight w:val="none"/>
        </w:rPr>
        <w:t>武汉亿思源光电股份有限公司</w:t>
      </w:r>
      <w:r>
        <w:tab/>
      </w:r>
      <w:r>
        <w:fldChar w:fldCharType="begin"/>
      </w:r>
      <w:r>
        <w:instrText xml:space="preserve"> PAGEREF _Toc4830 \h </w:instrText>
      </w:r>
      <w:r>
        <w:fldChar w:fldCharType="separate"/>
      </w:r>
      <w:r>
        <w:t>27</w:t>
      </w:r>
      <w:r>
        <w:fldChar w:fldCharType="end"/>
      </w:r>
      <w:r>
        <w:fldChar w:fldCharType="end"/>
      </w:r>
    </w:p>
    <w:p>
      <w:pPr>
        <w:pStyle w:val="22"/>
        <w:tabs>
          <w:tab w:val="right" w:leader="dot" w:pos="8306"/>
          <w:tab w:val="clear" w:pos="8296"/>
        </w:tabs>
      </w:pPr>
      <w:r>
        <w:fldChar w:fldCharType="begin"/>
      </w:r>
      <w:r>
        <w:instrText xml:space="preserve"> HYPERLINK \l _Toc6175 </w:instrText>
      </w:r>
      <w:r>
        <w:fldChar w:fldCharType="separate"/>
      </w:r>
      <w:r>
        <w:rPr>
          <w:rFonts w:hint="eastAsia" w:ascii="仿宋" w:hAnsi="仿宋" w:eastAsia="仿宋"/>
          <w:bCs w:val="0"/>
          <w:szCs w:val="30"/>
        </w:rPr>
        <w:t xml:space="preserve">31. </w:t>
      </w:r>
      <w:r>
        <w:rPr>
          <w:rFonts w:hint="eastAsia" w:ascii="仿宋" w:hAnsi="仿宋" w:eastAsia="仿宋"/>
          <w:bCs w:val="0"/>
          <w:szCs w:val="30"/>
          <w:highlight w:val="none"/>
        </w:rPr>
        <w:t>联通雄安产业互联网有限公司</w:t>
      </w:r>
      <w:r>
        <w:tab/>
      </w:r>
      <w:r>
        <w:fldChar w:fldCharType="begin"/>
      </w:r>
      <w:r>
        <w:instrText xml:space="preserve"> PAGEREF _Toc6175 \h </w:instrText>
      </w:r>
      <w:r>
        <w:fldChar w:fldCharType="separate"/>
      </w:r>
      <w:r>
        <w:t>28</w:t>
      </w:r>
      <w:r>
        <w:fldChar w:fldCharType="end"/>
      </w:r>
      <w:r>
        <w:fldChar w:fldCharType="end"/>
      </w:r>
    </w:p>
    <w:p>
      <w:pPr>
        <w:pStyle w:val="22"/>
        <w:tabs>
          <w:tab w:val="right" w:leader="dot" w:pos="8306"/>
          <w:tab w:val="clear" w:pos="8296"/>
        </w:tabs>
      </w:pPr>
      <w:r>
        <w:fldChar w:fldCharType="begin"/>
      </w:r>
      <w:r>
        <w:instrText xml:space="preserve"> HYPERLINK \l _Toc32161 </w:instrText>
      </w:r>
      <w:r>
        <w:fldChar w:fldCharType="separate"/>
      </w:r>
      <w:r>
        <w:rPr>
          <w:rFonts w:ascii="仿宋" w:hAnsi="仿宋" w:eastAsia="仿宋"/>
          <w:bCs w:val="0"/>
          <w:szCs w:val="30"/>
        </w:rPr>
        <w:t xml:space="preserve">32. </w:t>
      </w:r>
      <w:r>
        <w:rPr>
          <w:rFonts w:hint="eastAsia" w:ascii="仿宋" w:hAnsi="仿宋" w:eastAsia="仿宋"/>
          <w:bCs w:val="0"/>
          <w:szCs w:val="30"/>
          <w:highlight w:val="none"/>
        </w:rPr>
        <w:t>高质标准化研究院（山东）有限公司</w:t>
      </w:r>
      <w:r>
        <w:tab/>
      </w:r>
      <w:r>
        <w:fldChar w:fldCharType="begin"/>
      </w:r>
      <w:r>
        <w:instrText xml:space="preserve"> PAGEREF _Toc32161 \h </w:instrText>
      </w:r>
      <w:r>
        <w:fldChar w:fldCharType="separate"/>
      </w:r>
      <w:r>
        <w:t>29</w:t>
      </w:r>
      <w:r>
        <w:fldChar w:fldCharType="end"/>
      </w:r>
      <w:r>
        <w:fldChar w:fldCharType="end"/>
      </w:r>
    </w:p>
    <w:p>
      <w:r>
        <w:fldChar w:fldCharType="end"/>
      </w:r>
    </w:p>
    <w:p>
      <w:pPr>
        <w:pStyle w:val="17"/>
        <w:rPr>
          <w:rStyle w:val="31"/>
          <w:rFonts w:ascii="宋体" w:hAnsi="宋体" w:eastAsia="宋体"/>
          <w:szCs w:val="24"/>
        </w:rPr>
        <w:sectPr>
          <w:footerReference r:id="rId8" w:type="first"/>
          <w:pgSz w:w="11906" w:h="16838"/>
          <w:pgMar w:top="1985" w:right="1800" w:bottom="1440" w:left="1800" w:header="851" w:footer="992" w:gutter="0"/>
          <w:pgNumType w:fmt="upperRoman" w:start="1"/>
          <w:cols w:space="425" w:num="1"/>
          <w:titlePg/>
          <w:docGrid w:type="lines" w:linePitch="312" w:charSpace="0"/>
        </w:sectPr>
      </w:pPr>
    </w:p>
    <w:p>
      <w:pPr>
        <w:jc w:val="center"/>
        <w:rPr>
          <w:rFonts w:ascii="黑体" w:hAnsi="黑体" w:eastAsia="黑体"/>
          <w:sz w:val="48"/>
          <w:szCs w:val="48"/>
        </w:rPr>
      </w:pPr>
      <w:r>
        <w:rPr>
          <w:rFonts w:hint="eastAsia" w:ascii="黑体" w:hAnsi="黑体" w:eastAsia="黑体"/>
          <w:sz w:val="48"/>
          <w:szCs w:val="48"/>
        </w:rPr>
        <w:t>申请加入联盟的第五十</w:t>
      </w:r>
      <w:r>
        <w:rPr>
          <w:rFonts w:hint="eastAsia" w:ascii="黑体" w:hAnsi="黑体" w:eastAsia="黑体"/>
          <w:sz w:val="48"/>
          <w:szCs w:val="48"/>
          <w:lang w:val="en-US" w:eastAsia="zh-CN"/>
        </w:rPr>
        <w:t>八</w:t>
      </w:r>
      <w:r>
        <w:rPr>
          <w:rFonts w:hint="eastAsia" w:ascii="黑体" w:hAnsi="黑体" w:eastAsia="黑体"/>
          <w:sz w:val="48"/>
          <w:szCs w:val="48"/>
        </w:rPr>
        <w:t>批会员清单</w:t>
      </w:r>
    </w:p>
    <w:p>
      <w:pPr>
        <w:pStyle w:val="2"/>
        <w:rPr>
          <w:rFonts w:ascii="仿宋" w:hAnsi="仿宋" w:eastAsia="仿宋"/>
          <w:sz w:val="32"/>
          <w:szCs w:val="32"/>
        </w:rPr>
      </w:pPr>
      <w:bookmarkStart w:id="0" w:name="_Toc445466096"/>
      <w:bookmarkStart w:id="1" w:name="_Toc14347"/>
      <w:r>
        <w:rPr>
          <w:rFonts w:hint="eastAsia" w:ascii="仿宋" w:hAnsi="仿宋" w:eastAsia="仿宋"/>
          <w:sz w:val="32"/>
          <w:szCs w:val="32"/>
        </w:rPr>
        <w:t>一、企业名单</w:t>
      </w:r>
      <w:bookmarkEnd w:id="0"/>
      <w:bookmarkEnd w:id="1"/>
    </w:p>
    <w:p>
      <w:pPr>
        <w:tabs>
          <w:tab w:val="left" w:pos="720"/>
        </w:tabs>
        <w:ind w:firstLine="600" w:firstLineChars="200"/>
        <w:rPr>
          <w:rFonts w:ascii="仿宋" w:hAnsi="仿宋" w:eastAsia="仿宋"/>
          <w:sz w:val="30"/>
          <w:szCs w:val="30"/>
        </w:rPr>
      </w:pPr>
      <w:r>
        <w:rPr>
          <w:rFonts w:hint="eastAsia" w:ascii="仿宋" w:hAnsi="仿宋" w:eastAsia="仿宋"/>
          <w:sz w:val="30"/>
          <w:szCs w:val="30"/>
        </w:rPr>
        <w:t>自2021年</w:t>
      </w:r>
      <w:r>
        <w:rPr>
          <w:rFonts w:hint="eastAsia" w:ascii="仿宋" w:hAnsi="仿宋" w:eastAsia="仿宋"/>
          <w:sz w:val="30"/>
          <w:szCs w:val="30"/>
          <w:lang w:val="en-US" w:eastAsia="zh-CN"/>
        </w:rPr>
        <w:t>12</w:t>
      </w:r>
      <w:r>
        <w:rPr>
          <w:rFonts w:hint="eastAsia" w:ascii="仿宋" w:hAnsi="仿宋" w:eastAsia="仿宋"/>
          <w:sz w:val="30"/>
          <w:szCs w:val="30"/>
        </w:rPr>
        <w:t>月</w:t>
      </w:r>
      <w:r>
        <w:rPr>
          <w:rFonts w:hint="eastAsia" w:ascii="仿宋" w:hAnsi="仿宋" w:eastAsia="仿宋"/>
          <w:sz w:val="30"/>
          <w:szCs w:val="30"/>
          <w:lang w:val="en-US" w:eastAsia="zh-CN"/>
        </w:rPr>
        <w:t>1</w:t>
      </w:r>
      <w:r>
        <w:rPr>
          <w:rFonts w:hint="eastAsia" w:ascii="仿宋" w:hAnsi="仿宋" w:eastAsia="仿宋"/>
          <w:sz w:val="30"/>
          <w:szCs w:val="30"/>
        </w:rPr>
        <w:t>日至202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val="en-US" w:eastAsia="zh-CN"/>
        </w:rPr>
        <w:t>1</w:t>
      </w:r>
      <w:r>
        <w:rPr>
          <w:rFonts w:hint="eastAsia" w:ascii="仿宋" w:hAnsi="仿宋" w:eastAsia="仿宋"/>
          <w:sz w:val="30"/>
          <w:szCs w:val="30"/>
        </w:rPr>
        <w:t>月</w:t>
      </w:r>
      <w:r>
        <w:rPr>
          <w:rFonts w:hint="eastAsia" w:ascii="仿宋" w:hAnsi="仿宋" w:eastAsia="仿宋"/>
          <w:sz w:val="30"/>
          <w:szCs w:val="30"/>
          <w:lang w:val="en-US" w:eastAsia="zh-CN"/>
        </w:rPr>
        <w:t>7</w:t>
      </w:r>
      <w:r>
        <w:rPr>
          <w:rFonts w:hint="eastAsia" w:ascii="仿宋" w:hAnsi="仿宋" w:eastAsia="仿宋"/>
          <w:sz w:val="30"/>
          <w:szCs w:val="30"/>
        </w:rPr>
        <w:t>日</w:t>
      </w:r>
      <w:r>
        <w:rPr>
          <w:rFonts w:hint="eastAsia" w:ascii="仿宋" w:hAnsi="仿宋" w:eastAsia="仿宋"/>
          <w:color w:val="000000"/>
          <w:sz w:val="30"/>
          <w:szCs w:val="30"/>
        </w:rPr>
        <w:t>，</w:t>
      </w:r>
      <w:r>
        <w:rPr>
          <w:rFonts w:hint="eastAsia" w:ascii="仿宋" w:hAnsi="仿宋" w:eastAsia="仿宋"/>
          <w:sz w:val="30"/>
          <w:szCs w:val="30"/>
        </w:rPr>
        <w:t>第五十</w:t>
      </w:r>
      <w:r>
        <w:rPr>
          <w:rFonts w:hint="eastAsia" w:ascii="仿宋" w:hAnsi="仿宋" w:eastAsia="仿宋"/>
          <w:sz w:val="30"/>
          <w:szCs w:val="30"/>
          <w:lang w:val="en-US" w:eastAsia="zh-CN"/>
        </w:rPr>
        <w:t>八</w:t>
      </w:r>
      <w:r>
        <w:rPr>
          <w:rFonts w:hint="eastAsia" w:ascii="仿宋" w:hAnsi="仿宋" w:eastAsia="仿宋"/>
          <w:sz w:val="30"/>
          <w:szCs w:val="30"/>
        </w:rPr>
        <w:t>批提交正式回执的企业共有</w:t>
      </w:r>
      <w:r>
        <w:rPr>
          <w:rFonts w:hint="eastAsia" w:ascii="仿宋" w:hAnsi="仿宋" w:eastAsia="仿宋"/>
          <w:sz w:val="30"/>
          <w:szCs w:val="30"/>
          <w:lang w:val="en-US" w:eastAsia="zh-CN"/>
        </w:rPr>
        <w:t>32</w:t>
      </w:r>
      <w:r>
        <w:rPr>
          <w:rFonts w:ascii="仿宋" w:hAnsi="仿宋" w:eastAsia="仿宋"/>
          <w:sz w:val="30"/>
          <w:szCs w:val="30"/>
        </w:rPr>
        <w:t>家，名单如下：</w:t>
      </w:r>
    </w:p>
    <w:p>
      <w:pPr>
        <w:pStyle w:val="3"/>
        <w:numPr>
          <w:ilvl w:val="0"/>
          <w:numId w:val="1"/>
        </w:numPr>
        <w:rPr>
          <w:rFonts w:ascii="仿宋" w:hAnsi="仿宋" w:eastAsia="仿宋"/>
          <w:bCs w:val="0"/>
          <w:sz w:val="30"/>
          <w:szCs w:val="30"/>
        </w:rPr>
      </w:pPr>
      <w:bookmarkStart w:id="2" w:name="_Toc6044"/>
      <w:bookmarkStart w:id="3" w:name="_Toc445466102"/>
      <w:r>
        <w:rPr>
          <w:rFonts w:hint="eastAsia" w:ascii="仿宋" w:hAnsi="仿宋" w:eastAsia="仿宋"/>
          <w:bCs w:val="0"/>
          <w:sz w:val="30"/>
          <w:szCs w:val="30"/>
        </w:rPr>
        <w:t>工业企业（</w:t>
      </w:r>
      <w:r>
        <w:rPr>
          <w:rFonts w:hint="eastAsia" w:ascii="仿宋" w:hAnsi="仿宋" w:eastAsia="仿宋"/>
          <w:bCs w:val="0"/>
          <w:sz w:val="30"/>
          <w:szCs w:val="30"/>
          <w:lang w:val="en-US" w:eastAsia="zh-CN"/>
        </w:rPr>
        <w:t>4</w:t>
      </w:r>
      <w:r>
        <w:rPr>
          <w:rFonts w:hint="eastAsia" w:ascii="仿宋" w:hAnsi="仿宋" w:eastAsia="仿宋"/>
          <w:bCs w:val="0"/>
          <w:sz w:val="30"/>
          <w:szCs w:val="30"/>
        </w:rPr>
        <w:t>家）</w:t>
      </w:r>
      <w:bookmarkEnd w:id="2"/>
    </w:p>
    <w:p>
      <w:pPr>
        <w:ind w:firstLine="560" w:firstLineChars="200"/>
        <w:rPr>
          <w:rFonts w:hint="eastAsia" w:ascii="仿宋" w:hAnsi="仿宋" w:eastAsia="仿宋"/>
          <w:sz w:val="28"/>
          <w:szCs w:val="30"/>
          <w:highlight w:val="none"/>
        </w:rPr>
      </w:pPr>
      <w:r>
        <w:rPr>
          <w:rFonts w:hint="eastAsia" w:ascii="仿宋" w:hAnsi="仿宋" w:eastAsia="仿宋"/>
          <w:sz w:val="28"/>
          <w:szCs w:val="30"/>
          <w:highlight w:val="none"/>
        </w:rPr>
        <w:t>天津市迅尔仪表科技有限公司</w:t>
      </w:r>
    </w:p>
    <w:p>
      <w:pPr>
        <w:ind w:firstLine="560" w:firstLineChars="200"/>
        <w:rPr>
          <w:rFonts w:hint="eastAsia" w:ascii="仿宋" w:hAnsi="仿宋" w:eastAsia="仿宋"/>
          <w:sz w:val="28"/>
          <w:szCs w:val="30"/>
          <w:highlight w:val="none"/>
        </w:rPr>
      </w:pPr>
      <w:r>
        <w:rPr>
          <w:rFonts w:hint="eastAsia" w:ascii="仿宋" w:hAnsi="仿宋" w:eastAsia="仿宋"/>
          <w:sz w:val="28"/>
          <w:szCs w:val="30"/>
          <w:highlight w:val="none"/>
        </w:rPr>
        <w:t>厦门赛尔特电子有限公司</w:t>
      </w:r>
    </w:p>
    <w:p>
      <w:pPr>
        <w:ind w:firstLine="560" w:firstLineChars="200"/>
        <w:rPr>
          <w:rFonts w:hint="eastAsia" w:ascii="仿宋" w:hAnsi="仿宋" w:eastAsia="仿宋"/>
          <w:sz w:val="28"/>
          <w:szCs w:val="30"/>
          <w:highlight w:val="none"/>
        </w:rPr>
      </w:pPr>
      <w:r>
        <w:rPr>
          <w:rFonts w:hint="eastAsia" w:ascii="仿宋" w:hAnsi="仿宋" w:eastAsia="仿宋"/>
          <w:sz w:val="28"/>
          <w:szCs w:val="30"/>
          <w:highlight w:val="none"/>
        </w:rPr>
        <w:t>费森尤斯医疗投资（中国）有限公司</w:t>
      </w:r>
    </w:p>
    <w:p>
      <w:pPr>
        <w:ind w:firstLine="560" w:firstLineChars="200"/>
        <w:rPr>
          <w:rFonts w:hint="eastAsia" w:ascii="仿宋" w:hAnsi="仿宋" w:eastAsia="仿宋"/>
          <w:sz w:val="28"/>
          <w:szCs w:val="30"/>
          <w:highlight w:val="none"/>
        </w:rPr>
      </w:pPr>
      <w:r>
        <w:rPr>
          <w:rFonts w:hint="eastAsia" w:ascii="仿宋" w:hAnsi="仿宋" w:eastAsia="仿宋"/>
          <w:sz w:val="28"/>
          <w:szCs w:val="30"/>
          <w:highlight w:val="none"/>
        </w:rPr>
        <w:t>万华禾香生态科技股份有限公司</w:t>
      </w:r>
    </w:p>
    <w:p>
      <w:pPr>
        <w:pStyle w:val="3"/>
        <w:rPr>
          <w:rFonts w:ascii="仿宋" w:hAnsi="仿宋" w:eastAsia="仿宋"/>
          <w:bCs w:val="0"/>
          <w:sz w:val="30"/>
          <w:szCs w:val="30"/>
        </w:rPr>
      </w:pPr>
      <w:bookmarkStart w:id="4" w:name="_Toc19597"/>
      <w:r>
        <w:rPr>
          <w:rFonts w:hint="eastAsia" w:ascii="仿宋" w:hAnsi="仿宋" w:eastAsia="仿宋"/>
          <w:bCs w:val="0"/>
          <w:sz w:val="30"/>
          <w:szCs w:val="30"/>
        </w:rPr>
        <w:t>（二）工业解决方案提供商（</w:t>
      </w:r>
      <w:r>
        <w:rPr>
          <w:rFonts w:hint="eastAsia" w:ascii="仿宋" w:hAnsi="仿宋" w:eastAsia="仿宋"/>
          <w:bCs w:val="0"/>
          <w:sz w:val="30"/>
          <w:szCs w:val="30"/>
          <w:lang w:val="en-US" w:eastAsia="zh-CN"/>
        </w:rPr>
        <w:t>25</w:t>
      </w:r>
      <w:r>
        <w:rPr>
          <w:rFonts w:hint="eastAsia" w:ascii="仿宋" w:hAnsi="仿宋" w:eastAsia="仿宋"/>
          <w:bCs w:val="0"/>
          <w:sz w:val="30"/>
          <w:szCs w:val="30"/>
        </w:rPr>
        <w:t>家）</w:t>
      </w:r>
      <w:bookmarkEnd w:id="4"/>
    </w:p>
    <w:p>
      <w:pPr>
        <w:ind w:left="700"/>
        <w:rPr>
          <w:rFonts w:hint="eastAsia" w:ascii="仿宋" w:hAnsi="仿宋" w:eastAsia="仿宋"/>
          <w:sz w:val="28"/>
          <w:szCs w:val="30"/>
          <w:highlight w:val="none"/>
        </w:rPr>
      </w:pPr>
      <w:r>
        <w:rPr>
          <w:rFonts w:hint="eastAsia" w:ascii="仿宋" w:hAnsi="仿宋" w:eastAsia="仿宋"/>
          <w:sz w:val="28"/>
          <w:szCs w:val="30"/>
          <w:highlight w:val="none"/>
        </w:rPr>
        <w:t>南京罕华流体技术有限公司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上海世茂物联网科技有限公司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上海远韬软件科技有限公司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黑龙江省佳电自研科技开发有限公司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万达信息股份有限公司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内蒙古伊泰信息技术有限公司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成都西加云杉科技有限公司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北京海航中软科技有限公司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合肥达朴汇联科技有限公司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北京瑞鹏天乘信息技术有限公司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北京诚公管理咨询有限公司</w:t>
      </w:r>
    </w:p>
    <w:p>
      <w:pPr>
        <w:ind w:left="700"/>
        <w:rPr>
          <w:rFonts w:hint="eastAsia" w:ascii="仿宋" w:hAnsi="仿宋" w:eastAsia="仿宋"/>
          <w:color w:val="0000FF"/>
          <w:sz w:val="28"/>
          <w:szCs w:val="30"/>
          <w:highlight w:val="none"/>
        </w:rPr>
      </w:pPr>
      <w:r>
        <w:rPr>
          <w:rFonts w:hint="eastAsia" w:ascii="仿宋" w:hAnsi="仿宋" w:eastAsia="仿宋"/>
          <w:sz w:val="28"/>
          <w:szCs w:val="30"/>
          <w:highlight w:val="none"/>
        </w:rPr>
        <w:t>广州珂诚信息技术有限公司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深圳市中物互联技术发展有限公司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广西九维时空数字产业发展有限公司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码客工场工业科技（北京）有限公司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广州市锐赛科技有限公司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大连云数据科技有限公司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广东中设智控科技股份有限公司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北京国基科技股份有限公司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深圳市杉岩数据技术有限公司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重庆云江工业互联网有限公司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中仓登数据服务有限公司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北京艾智互联科技有限公司</w:t>
      </w:r>
    </w:p>
    <w:p>
      <w:pPr>
        <w:ind w:left="700"/>
        <w:rPr>
          <w:rFonts w:hint="eastAsia" w:ascii="仿宋" w:hAnsi="仿宋" w:eastAsia="仿宋"/>
          <w:sz w:val="28"/>
          <w:szCs w:val="30"/>
          <w:highlight w:val="none"/>
        </w:rPr>
      </w:pPr>
      <w:r>
        <w:rPr>
          <w:rFonts w:hint="eastAsia" w:ascii="仿宋" w:hAnsi="仿宋" w:eastAsia="仿宋"/>
          <w:sz w:val="28"/>
          <w:szCs w:val="30"/>
          <w:highlight w:val="none"/>
        </w:rPr>
        <w:t>山西省数字证书认证中心（有限公司）</w:t>
      </w:r>
    </w:p>
    <w:p>
      <w:pPr>
        <w:ind w:left="420" w:leftChars="0" w:firstLine="420" w:firstLineChars="0"/>
        <w:rPr>
          <w:rFonts w:hint="eastAsia" w:ascii="仿宋" w:hAnsi="仿宋" w:eastAsia="仿宋"/>
          <w:sz w:val="28"/>
          <w:szCs w:val="30"/>
          <w:highlight w:val="none"/>
        </w:rPr>
      </w:pPr>
      <w:r>
        <w:rPr>
          <w:rFonts w:hint="eastAsia" w:ascii="仿宋" w:hAnsi="仿宋" w:eastAsia="仿宋"/>
          <w:sz w:val="28"/>
          <w:szCs w:val="30"/>
          <w:highlight w:val="none"/>
        </w:rPr>
        <w:t>广州优壹互联科技有限公司</w:t>
      </w:r>
    </w:p>
    <w:p>
      <w:pPr>
        <w:pStyle w:val="3"/>
        <w:rPr>
          <w:rFonts w:hint="default" w:ascii="仿宋" w:hAnsi="仿宋" w:eastAsia="仿宋"/>
          <w:bCs w:val="0"/>
          <w:sz w:val="30"/>
          <w:szCs w:val="30"/>
          <w:lang w:val="en-US" w:eastAsia="zh-CN"/>
        </w:rPr>
      </w:pPr>
      <w:bookmarkStart w:id="5" w:name="_Toc3768"/>
      <w:r>
        <w:rPr>
          <w:rFonts w:hint="eastAsia" w:ascii="仿宋" w:hAnsi="仿宋" w:eastAsia="仿宋"/>
          <w:bCs w:val="0"/>
          <w:sz w:val="30"/>
          <w:szCs w:val="30"/>
        </w:rPr>
        <w:t>（三）</w:t>
      </w:r>
      <w:r>
        <w:rPr>
          <w:rFonts w:hint="eastAsia" w:ascii="仿宋" w:hAnsi="仿宋" w:eastAsia="仿宋"/>
          <w:bCs w:val="0"/>
          <w:sz w:val="30"/>
          <w:szCs w:val="30"/>
          <w:lang w:val="en-US" w:eastAsia="zh-CN"/>
        </w:rPr>
        <w:t>信息通信企业（2家）</w:t>
      </w:r>
      <w:bookmarkEnd w:id="5"/>
    </w:p>
    <w:p>
      <w:pPr>
        <w:ind w:left="280" w:firstLine="560" w:firstLineChars="200"/>
        <w:rPr>
          <w:rFonts w:hint="eastAsia" w:ascii="仿宋" w:hAnsi="仿宋" w:eastAsia="仿宋"/>
          <w:sz w:val="28"/>
          <w:szCs w:val="30"/>
          <w:highlight w:val="none"/>
        </w:rPr>
      </w:pPr>
      <w:r>
        <w:rPr>
          <w:rFonts w:hint="eastAsia" w:ascii="仿宋" w:hAnsi="仿宋" w:eastAsia="仿宋"/>
          <w:sz w:val="28"/>
          <w:szCs w:val="30"/>
          <w:highlight w:val="none"/>
        </w:rPr>
        <w:t>武汉亿思源光电股份有限公司</w:t>
      </w:r>
    </w:p>
    <w:p>
      <w:pPr>
        <w:ind w:left="280" w:firstLine="560" w:firstLineChars="200"/>
        <w:rPr>
          <w:rFonts w:hint="eastAsia" w:ascii="仿宋" w:hAnsi="仿宋" w:eastAsia="仿宋"/>
          <w:sz w:val="28"/>
          <w:szCs w:val="30"/>
          <w:highlight w:val="none"/>
        </w:rPr>
      </w:pPr>
      <w:r>
        <w:rPr>
          <w:rFonts w:hint="eastAsia" w:ascii="仿宋" w:hAnsi="仿宋" w:eastAsia="仿宋"/>
          <w:sz w:val="28"/>
          <w:szCs w:val="30"/>
          <w:highlight w:val="none"/>
        </w:rPr>
        <w:t>联通雄安产业互联网有限公司</w:t>
      </w:r>
    </w:p>
    <w:p>
      <w:pPr>
        <w:pStyle w:val="3"/>
        <w:rPr>
          <w:rFonts w:ascii="仿宋" w:hAnsi="仿宋" w:eastAsia="仿宋"/>
          <w:bCs w:val="0"/>
          <w:sz w:val="30"/>
          <w:szCs w:val="30"/>
        </w:rPr>
      </w:pPr>
      <w:bookmarkStart w:id="6" w:name="_Toc20847"/>
      <w:r>
        <w:rPr>
          <w:rFonts w:hint="eastAsia" w:ascii="仿宋" w:hAnsi="仿宋" w:eastAsia="仿宋"/>
          <w:bCs w:val="0"/>
          <w:sz w:val="30"/>
          <w:szCs w:val="30"/>
        </w:rPr>
        <w:t>（</w:t>
      </w:r>
      <w:r>
        <w:rPr>
          <w:rFonts w:hint="eastAsia" w:ascii="仿宋" w:hAnsi="仿宋" w:eastAsia="仿宋"/>
          <w:bCs w:val="0"/>
          <w:sz w:val="30"/>
          <w:szCs w:val="30"/>
          <w:lang w:val="en-US" w:eastAsia="zh-CN"/>
        </w:rPr>
        <w:t>四</w:t>
      </w:r>
      <w:r>
        <w:rPr>
          <w:rFonts w:hint="eastAsia" w:ascii="仿宋" w:hAnsi="仿宋" w:eastAsia="仿宋"/>
          <w:bCs w:val="0"/>
          <w:sz w:val="30"/>
          <w:szCs w:val="30"/>
        </w:rPr>
        <w:t>）</w:t>
      </w:r>
      <w:r>
        <w:rPr>
          <w:rFonts w:hint="eastAsia" w:ascii="仿宋" w:hAnsi="仿宋" w:eastAsia="仿宋"/>
          <w:bCs w:val="0"/>
          <w:sz w:val="30"/>
          <w:szCs w:val="30"/>
          <w:lang w:val="en-US" w:eastAsia="zh-CN"/>
        </w:rPr>
        <w:t>高校及科研院所</w:t>
      </w:r>
      <w:r>
        <w:rPr>
          <w:rFonts w:hint="eastAsia" w:ascii="仿宋" w:hAnsi="仿宋" w:eastAsia="仿宋"/>
          <w:bCs w:val="0"/>
          <w:sz w:val="30"/>
          <w:szCs w:val="30"/>
        </w:rPr>
        <w:t>（</w:t>
      </w:r>
      <w:r>
        <w:rPr>
          <w:rFonts w:hint="eastAsia" w:ascii="仿宋" w:hAnsi="仿宋" w:eastAsia="仿宋"/>
          <w:bCs w:val="0"/>
          <w:sz w:val="30"/>
          <w:szCs w:val="30"/>
          <w:lang w:val="en-US" w:eastAsia="zh-CN"/>
        </w:rPr>
        <w:t>1</w:t>
      </w:r>
      <w:r>
        <w:rPr>
          <w:rFonts w:hint="eastAsia" w:ascii="仿宋" w:hAnsi="仿宋" w:eastAsia="仿宋"/>
          <w:bCs w:val="0"/>
          <w:sz w:val="30"/>
          <w:szCs w:val="30"/>
        </w:rPr>
        <w:t>家）</w:t>
      </w:r>
      <w:bookmarkEnd w:id="6"/>
    </w:p>
    <w:p>
      <w:pPr>
        <w:ind w:left="280" w:firstLine="560" w:firstLineChars="200"/>
        <w:rPr>
          <w:rFonts w:hint="eastAsia" w:ascii="仿宋" w:hAnsi="仿宋" w:eastAsia="仿宋"/>
          <w:sz w:val="28"/>
          <w:szCs w:val="30"/>
          <w:highlight w:val="none"/>
        </w:rPr>
      </w:pPr>
      <w:r>
        <w:rPr>
          <w:rFonts w:hint="eastAsia" w:ascii="仿宋" w:hAnsi="仿宋" w:eastAsia="仿宋"/>
          <w:sz w:val="28"/>
          <w:szCs w:val="30"/>
          <w:highlight w:val="none"/>
        </w:rPr>
        <w:t>高质标准化研究院（山东）有限公司</w:t>
      </w:r>
    </w:p>
    <w:bookmarkEnd w:id="3"/>
    <w:p>
      <w:pPr>
        <w:pStyle w:val="2"/>
        <w:rPr>
          <w:rFonts w:ascii="仿宋" w:hAnsi="仿宋" w:eastAsia="仿宋"/>
          <w:sz w:val="32"/>
          <w:szCs w:val="32"/>
        </w:rPr>
      </w:pPr>
      <w:bookmarkStart w:id="7" w:name="_Toc445466117"/>
      <w:r>
        <w:rPr>
          <w:rFonts w:ascii="仿宋" w:hAnsi="仿宋" w:eastAsia="仿宋"/>
          <w:sz w:val="32"/>
          <w:szCs w:val="32"/>
        </w:rPr>
        <w:br w:type="page"/>
      </w:r>
    </w:p>
    <w:p>
      <w:pPr>
        <w:pStyle w:val="2"/>
        <w:rPr>
          <w:rFonts w:ascii="仿宋" w:hAnsi="仿宋" w:eastAsia="仿宋"/>
          <w:sz w:val="32"/>
          <w:szCs w:val="32"/>
        </w:rPr>
      </w:pPr>
      <w:bookmarkStart w:id="8" w:name="_Toc10516"/>
      <w:r>
        <w:rPr>
          <w:rFonts w:hint="eastAsia" w:ascii="仿宋" w:hAnsi="仿宋" w:eastAsia="仿宋"/>
          <w:sz w:val="32"/>
          <w:szCs w:val="32"/>
        </w:rPr>
        <w:t>二、企业介绍</w:t>
      </w:r>
      <w:bookmarkEnd w:id="7"/>
      <w:bookmarkEnd w:id="8"/>
    </w:p>
    <w:p>
      <w:pPr>
        <w:pStyle w:val="3"/>
        <w:numPr>
          <w:ilvl w:val="0"/>
          <w:numId w:val="2"/>
        </w:numPr>
        <w:rPr>
          <w:rFonts w:ascii="仿宋" w:hAnsi="仿宋" w:eastAsia="仿宋"/>
          <w:bCs w:val="0"/>
          <w:sz w:val="30"/>
          <w:szCs w:val="30"/>
          <w:highlight w:val="none"/>
        </w:rPr>
      </w:pPr>
      <w:bookmarkStart w:id="9" w:name="_Toc20605"/>
      <w:r>
        <w:rPr>
          <w:rFonts w:hint="eastAsia" w:ascii="仿宋" w:hAnsi="仿宋" w:eastAsia="仿宋"/>
          <w:bCs w:val="0"/>
          <w:sz w:val="30"/>
          <w:szCs w:val="30"/>
          <w:highlight w:val="none"/>
        </w:rPr>
        <w:t>天津市迅尔仪表科技有限公司</w:t>
      </w:r>
      <w:bookmarkEnd w:id="9"/>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天津市迅尔仪表科技有限公司成立于2006年，专业从事自动化仪表的研发、生产、销售和服务。公司总部坐落于天津市滨海高新区，下设三处工厂，厂区面积共计7.3万余平方米。公司提供电磁流量计、电磁水表、气（液）涡轮流量计、气体腰轮流量计、气（液）超声波流量计、涡街流量计、一体式差压类流量计、质量流量计等共计八大系列产品和服务，并为用户提供系统解决方案。</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迅尔通过构建“终端监测+信息采集+数据传输+应用开发”综合物联平台，面向燃气、水务、热力、市政等领域，在流量计量方面提供“感知+信息+应用”传、控一体的行业解决方案，助力提升用户的经济效益和运营效率。</w:t>
      </w:r>
    </w:p>
    <w:p>
      <w:pPr>
        <w:pStyle w:val="3"/>
        <w:numPr>
          <w:ilvl w:val="0"/>
          <w:numId w:val="2"/>
        </w:numPr>
        <w:rPr>
          <w:rFonts w:ascii="仿宋" w:hAnsi="仿宋" w:eastAsia="仿宋"/>
          <w:bCs w:val="0"/>
          <w:sz w:val="30"/>
          <w:szCs w:val="30"/>
          <w:highlight w:val="none"/>
        </w:rPr>
      </w:pPr>
      <w:bookmarkStart w:id="10" w:name="_Toc26152"/>
      <w:r>
        <w:rPr>
          <w:rFonts w:hint="eastAsia" w:ascii="仿宋" w:hAnsi="仿宋" w:eastAsia="仿宋"/>
          <w:bCs w:val="0"/>
          <w:sz w:val="30"/>
          <w:szCs w:val="30"/>
          <w:highlight w:val="none"/>
        </w:rPr>
        <w:t>厦门赛尔特电子有限公司</w:t>
      </w:r>
      <w:bookmarkEnd w:id="10"/>
    </w:p>
    <w:p>
      <w:pPr>
        <w:ind w:firstLine="600" w:firstLineChars="200"/>
        <w:rPr>
          <w:rFonts w:hint="eastAsia" w:ascii="仿宋" w:hAnsi="仿宋" w:eastAsia="仿宋" w:cs="宋体"/>
          <w:bCs/>
          <w:kern w:val="0"/>
          <w:sz w:val="30"/>
          <w:szCs w:val="30"/>
          <w:highlight w:val="none"/>
          <w:lang w:val="en-US" w:eastAsia="zh-CN"/>
        </w:rPr>
      </w:pPr>
      <w:r>
        <w:rPr>
          <w:rFonts w:hint="eastAsia" w:ascii="仿宋" w:hAnsi="仿宋" w:eastAsia="仿宋" w:cs="宋体"/>
          <w:bCs/>
          <w:kern w:val="0"/>
          <w:sz w:val="30"/>
          <w:szCs w:val="30"/>
          <w:highlight w:val="none"/>
          <w:lang w:val="en-US" w:eastAsia="zh-CN"/>
        </w:rPr>
        <w:t>厦门赛尔特电子有限公司设计、制造、销售电路控制及安全保护元器件、提供电路安全解决方案。主要产品有：温度保险丝、温控器、压敏电阻、热保护型压敏电阻、电涌保护器、电涌保护模组、气体放电管、线绕熔断小型熔断器、浪涌电流抑制热敏电阻、受控熔断器等，产品广泛用于通信设备、网络设备等领域，为其安全运行提供可靠保障。</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lang w:val="en-US" w:eastAsia="zh-CN"/>
        </w:rPr>
        <w:t>公司</w:t>
      </w:r>
      <w:r>
        <w:rPr>
          <w:rFonts w:hint="eastAsia" w:ascii="仿宋" w:hAnsi="仿宋" w:eastAsia="仿宋" w:cs="宋体"/>
          <w:bCs/>
          <w:kern w:val="0"/>
          <w:sz w:val="30"/>
          <w:szCs w:val="30"/>
          <w:highlight w:val="none"/>
        </w:rPr>
        <w:t>已与业内众多知名企业合作，产品涵盖过温，过流，过压领域，能全面、完整的提供电路保护器件及方案。特别在过压及过温领域优势明显，拥有多项专利技术，及目击测试实验室。领先的设计，实现了产品的小型化，多功能化，产品已销往40多个国家和地区，还与世界500强的部分企业有深远的合作，产品取得CCC、UL、cUL、VDE、TUV、PSE、KC、等认证，符合RoHS、REACH.环保要求，同时获得IATF16949、 ISO9001、ISO14001、ISO4500`等多个管理体系认证，参与多项元器件国标及国际标准制定和修订，深受工业互联网用户青睐。</w:t>
      </w:r>
    </w:p>
    <w:p>
      <w:pPr>
        <w:pStyle w:val="3"/>
        <w:numPr>
          <w:ilvl w:val="0"/>
          <w:numId w:val="2"/>
        </w:numPr>
        <w:rPr>
          <w:rFonts w:hint="eastAsia" w:ascii="仿宋" w:hAnsi="仿宋" w:eastAsia="仿宋"/>
          <w:bCs w:val="0"/>
          <w:sz w:val="30"/>
          <w:szCs w:val="30"/>
          <w:highlight w:val="none"/>
        </w:rPr>
      </w:pPr>
      <w:bookmarkStart w:id="11" w:name="_Toc31912"/>
      <w:r>
        <w:rPr>
          <w:rFonts w:hint="eastAsia" w:ascii="仿宋" w:hAnsi="仿宋" w:eastAsia="仿宋"/>
          <w:bCs w:val="0"/>
          <w:sz w:val="30"/>
          <w:szCs w:val="30"/>
          <w:highlight w:val="none"/>
        </w:rPr>
        <w:t>费森尤斯医疗投资（中国）有限公司</w:t>
      </w:r>
      <w:bookmarkEnd w:id="11"/>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费森尤斯医疗是全球知名的血液净化产品和医疗服务的供应商。全球约有370万肾脏疾病患者定期接受透析治疗。费森尤斯医疗在世界各地拥有4,151家透析诊所中心，为全球约345,000名肾友提供透析治疗。费森尤斯医疗也是透析产品（例如透析机或透析器）的领先供应商。一体化肾脏护理解决方案是我们的核心业务，除此之外，费森尤斯医疗还专注于肾脏相关领域和重症领域的拓展。</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费森尤斯医疗基于4151家透析中心及为345,000名肾病患者的透析治疗经验，肾科领域信息化拥有高达二十多年的丰富经验，同时在中国、德国、美国等地的部署了本土化研发团队，基于在医疗大数据、医疗物联网及医疗人工智能等技术的夯实实践基础之上，为患者、医护、医院临床管理等多方面提供整体化数字化解决方案。</w:t>
      </w:r>
    </w:p>
    <w:p>
      <w:pPr>
        <w:pStyle w:val="3"/>
        <w:numPr>
          <w:ilvl w:val="0"/>
          <w:numId w:val="2"/>
        </w:numPr>
        <w:rPr>
          <w:rFonts w:hint="eastAsia" w:ascii="仿宋" w:hAnsi="仿宋" w:eastAsia="仿宋"/>
          <w:bCs w:val="0"/>
          <w:sz w:val="30"/>
          <w:szCs w:val="30"/>
          <w:highlight w:val="none"/>
        </w:rPr>
      </w:pPr>
      <w:bookmarkStart w:id="12" w:name="_Toc276"/>
      <w:r>
        <w:rPr>
          <w:rFonts w:hint="eastAsia" w:ascii="仿宋" w:hAnsi="仿宋" w:eastAsia="仿宋"/>
          <w:bCs w:val="0"/>
          <w:sz w:val="30"/>
          <w:szCs w:val="30"/>
          <w:highlight w:val="none"/>
        </w:rPr>
        <w:t>万华禾香生态科技股份有限公司</w:t>
      </w:r>
      <w:bookmarkEnd w:id="12"/>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公司成立于2006年,以“屋顶之下、本该无醛" 为愿景，以“绿色大家居产业生态运营商”为发展定位，目前已发展成为下辖17个分 子公司6大产业模块的绿色大家居产业生态，在十余年的产业布局和发展过程中，始终坚定不移地响应国家和党的号召，以保护环境、促进可持续发展为己任，现已成为规模化生产无醛添加秸秆板材的供应商、全套装备研发设计集成商和绿色智能化家居整体解决方案互联网平台的运营商。</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公司未来战略目标是“中国无醛添加人造板行业标杆及龙头企业”，为实现该目标</w:t>
      </w:r>
      <w:r>
        <w:rPr>
          <w:rFonts w:hint="eastAsia" w:ascii="仿宋" w:hAnsi="仿宋" w:eastAsia="仿宋" w:cs="宋体"/>
          <w:bCs/>
          <w:kern w:val="0"/>
          <w:sz w:val="30"/>
          <w:szCs w:val="30"/>
          <w:highlight w:val="none"/>
          <w:lang w:val="en-US" w:eastAsia="zh-CN"/>
        </w:rPr>
        <w:t>公司将</w:t>
      </w:r>
      <w:r>
        <w:rPr>
          <w:rFonts w:hint="eastAsia" w:ascii="仿宋" w:hAnsi="仿宋" w:eastAsia="仿宋" w:cs="宋体"/>
          <w:bCs/>
          <w:kern w:val="0"/>
          <w:sz w:val="30"/>
          <w:szCs w:val="30"/>
          <w:highlight w:val="none"/>
        </w:rPr>
        <w:t>通过以下技术硏究实践：5G工业互联网工厂基础设施；无代码工业互联网 平台；无代码管理软件；工厂数字孪生模型；工业APP的应用；光伏技术；RPA技术 ；建设了以万华禾香工业互联网平台为基础的大家居工业园区的创新应用，包括：集装箱式数据中心</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基于5G+RPA技术的智慧料场</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工业APP应用</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无代码平台</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无代码工业互联网平台</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人员培养创新应用</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光伏管理创新应用</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基于数字孪生技术的数字指挥中心等等</w:t>
      </w:r>
      <w:r>
        <w:rPr>
          <w:rFonts w:hint="eastAsia" w:ascii="仿宋" w:hAnsi="仿宋" w:eastAsia="仿宋" w:cs="宋体"/>
          <w:bCs/>
          <w:kern w:val="0"/>
          <w:sz w:val="30"/>
          <w:szCs w:val="30"/>
          <w:highlight w:val="none"/>
          <w:lang w:eastAsia="zh-CN"/>
        </w:rPr>
        <w:t>。</w:t>
      </w:r>
    </w:p>
    <w:p>
      <w:pPr>
        <w:pStyle w:val="3"/>
        <w:numPr>
          <w:ilvl w:val="0"/>
          <w:numId w:val="2"/>
        </w:numPr>
        <w:rPr>
          <w:rFonts w:hint="eastAsia" w:ascii="仿宋" w:hAnsi="仿宋" w:eastAsia="仿宋"/>
          <w:bCs w:val="0"/>
          <w:sz w:val="30"/>
          <w:szCs w:val="30"/>
          <w:highlight w:val="none"/>
        </w:rPr>
      </w:pPr>
      <w:bookmarkStart w:id="13" w:name="_Toc28855"/>
      <w:r>
        <w:rPr>
          <w:rFonts w:hint="eastAsia" w:ascii="仿宋" w:hAnsi="仿宋" w:eastAsia="仿宋"/>
          <w:bCs w:val="0"/>
          <w:sz w:val="30"/>
          <w:szCs w:val="30"/>
          <w:highlight w:val="none"/>
        </w:rPr>
        <w:t>南京罕华流体技术有限公司</w:t>
      </w:r>
      <w:bookmarkEnd w:id="13"/>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南京罕华流体技术有限公司为国家高新技术企业、江苏省双创企业，由多名博士研究生联合创立，罕华是最早从事精准计量解决方案的商业化公司，是钢铁企业能源系统数据精准性领域的引领者。罕华团队已到访的国内工业现场超过600个，设计单位超过70家，做过的解决方案超过110个。</w:t>
      </w:r>
    </w:p>
    <w:p>
      <w:pPr>
        <w:ind w:firstLine="600" w:firstLineChars="200"/>
        <w:rPr>
          <w:rFonts w:hint="eastAsia" w:ascii="仿宋" w:hAnsi="仿宋" w:eastAsia="仿宋" w:cs="宋体"/>
          <w:bCs/>
          <w:kern w:val="0"/>
          <w:sz w:val="30"/>
          <w:szCs w:val="30"/>
          <w:highlight w:val="yellow"/>
          <w:lang w:val="en-US" w:eastAsia="zh-CN"/>
        </w:rPr>
      </w:pPr>
      <w:r>
        <w:rPr>
          <w:rFonts w:hint="eastAsia" w:ascii="仿宋" w:hAnsi="仿宋" w:eastAsia="仿宋" w:cs="宋体"/>
          <w:bCs/>
          <w:kern w:val="0"/>
          <w:sz w:val="30"/>
          <w:szCs w:val="30"/>
          <w:highlight w:val="none"/>
          <w:lang w:val="en-US" w:eastAsia="zh-CN"/>
        </w:rPr>
        <w:t>公司</w:t>
      </w:r>
      <w:r>
        <w:rPr>
          <w:rFonts w:hint="eastAsia" w:ascii="仿宋" w:hAnsi="仿宋" w:eastAsia="仿宋" w:cs="宋体"/>
          <w:bCs/>
          <w:kern w:val="0"/>
          <w:sz w:val="30"/>
          <w:szCs w:val="30"/>
          <w:highlight w:val="none"/>
        </w:rPr>
        <w:t>核心团队多人为工学博士学历</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核心成员均有国际知名企业经历，富有专业知识与一线经验</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人才结构中硕博占比超过70%</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技术国内引领，产品国内首创</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拥有发明专利为主的完全自主知识产权130项</w:t>
      </w:r>
      <w:r>
        <w:rPr>
          <w:rFonts w:hint="eastAsia" w:ascii="仿宋" w:hAnsi="仿宋" w:eastAsia="仿宋" w:cs="宋体"/>
          <w:bCs/>
          <w:kern w:val="0"/>
          <w:sz w:val="30"/>
          <w:szCs w:val="30"/>
          <w:highlight w:val="none"/>
          <w:lang w:eastAsia="zh-CN"/>
        </w:rPr>
        <w:t>，</w:t>
      </w:r>
      <w:r>
        <w:rPr>
          <w:rFonts w:hint="eastAsia" w:ascii="仿宋" w:hAnsi="仿宋" w:eastAsia="仿宋" w:cs="宋体"/>
          <w:bCs/>
          <w:kern w:val="0"/>
          <w:sz w:val="30"/>
          <w:szCs w:val="30"/>
          <w:highlight w:val="none"/>
        </w:rPr>
        <w:t>研发投入占比多年超过25%</w:t>
      </w:r>
      <w:r>
        <w:rPr>
          <w:rFonts w:hint="eastAsia" w:ascii="仿宋" w:hAnsi="仿宋" w:eastAsia="仿宋" w:cs="宋体"/>
          <w:bCs/>
          <w:kern w:val="0"/>
          <w:sz w:val="30"/>
          <w:szCs w:val="30"/>
          <w:highlight w:val="none"/>
          <w:lang w:eastAsia="zh-CN"/>
        </w:rPr>
        <w:t>。</w:t>
      </w:r>
    </w:p>
    <w:p>
      <w:pPr>
        <w:pStyle w:val="3"/>
        <w:numPr>
          <w:ilvl w:val="0"/>
          <w:numId w:val="2"/>
        </w:numPr>
        <w:rPr>
          <w:rFonts w:ascii="仿宋" w:hAnsi="仿宋" w:eastAsia="仿宋"/>
          <w:bCs w:val="0"/>
          <w:sz w:val="30"/>
          <w:szCs w:val="30"/>
          <w:highlight w:val="none"/>
        </w:rPr>
      </w:pPr>
      <w:bookmarkStart w:id="14" w:name="_Toc27911"/>
      <w:r>
        <w:rPr>
          <w:rFonts w:hint="eastAsia" w:ascii="仿宋" w:hAnsi="仿宋" w:eastAsia="仿宋"/>
          <w:bCs w:val="0"/>
          <w:sz w:val="30"/>
          <w:szCs w:val="30"/>
          <w:highlight w:val="none"/>
        </w:rPr>
        <w:t>上海世茂物联网科技有限公司</w:t>
      </w:r>
      <w:bookmarkEnd w:id="14"/>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rPr>
        <w:t>世茂物联是世茂服务旗下的高科技企业，空间智能化领域的综合服务商，致力于全空间智慧场景的创设和引领，从而为用户带来更多的智慧生活创想。世茂物联以“人因智能”为理念，凭借对空间和场景的独特理解以及强大的技术实力与生态整合力，实现了对全空间的整体运营，建立具备竞争优势的整体解决方案能力，为客户提供从“空间设计-产品研发-集成交付-综合运营”的全生命周期服务。</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世茂物联在园区运营的过程中，大幅度提高园区企业的参与感和安全感，推动园区管理单位由管理型向服务型转型。在整个服务体系中，世茂物联通过“服务+管理+运营”的模式，结合城市服务信息化方面的优势，以应用价值为驱动和引领，以数据资源为基础，以平台技术为保障构建数据全面、技术领先、应用价值强大的园区治理大数据平台，实现园区事件智能感知与智能处理。</w:t>
      </w:r>
    </w:p>
    <w:p>
      <w:pPr>
        <w:pStyle w:val="3"/>
        <w:numPr>
          <w:ilvl w:val="0"/>
          <w:numId w:val="2"/>
        </w:numPr>
        <w:rPr>
          <w:rFonts w:hint="eastAsia" w:ascii="仿宋" w:hAnsi="仿宋" w:eastAsia="仿宋"/>
          <w:bCs w:val="0"/>
          <w:sz w:val="30"/>
          <w:szCs w:val="30"/>
          <w:highlight w:val="none"/>
        </w:rPr>
      </w:pPr>
      <w:bookmarkStart w:id="15" w:name="_Toc4253"/>
      <w:r>
        <w:rPr>
          <w:rFonts w:hint="eastAsia" w:ascii="仿宋" w:hAnsi="仿宋" w:eastAsia="仿宋"/>
          <w:bCs w:val="0"/>
          <w:sz w:val="30"/>
          <w:szCs w:val="30"/>
          <w:highlight w:val="none"/>
        </w:rPr>
        <w:t>上海远韬软件科技有限公司</w:t>
      </w:r>
      <w:bookmarkEnd w:id="15"/>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远韬科技成立于2011年，始终聚焦工业4.0、智能制造、商业AI赋能，是领先的整合服务商，集系统研发、集成运营与战略咨询于一身。凭借极为卓越的研发实力，专业创新的理念和服务，以及敏捷高效的客户支持，远韬赢得了众多品牌客户信赖，行业覆盖奢侈品、媒体、政府机构、工业4.0产业、教育、快消、城市服务、地产等诸多领域。</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远韬科技拥有一流教育背景和专业经历的团队、国际先进的研发技术，以全球视野开展技术洞察，凭借国内外互联网行业的深厚积累及创新领域的不断开拓，实现从战略到实施的创新与变革。从基于μITRON/T-Kernel的操作系统移植开发、Linux/Android系统定制开发、图像识别语音交互等人工智能服务，到基于ROS机器人操作系统的整体解决方案，始终聚焦操作系统领域，提供全面、灵活的整体系统解决方案。在白酒制造、电机、工业内窥镜等多个行业和项目有优秀案例。</w:t>
      </w:r>
    </w:p>
    <w:p>
      <w:pPr>
        <w:pStyle w:val="3"/>
        <w:numPr>
          <w:ilvl w:val="0"/>
          <w:numId w:val="2"/>
        </w:numPr>
        <w:rPr>
          <w:rFonts w:ascii="仿宋" w:hAnsi="仿宋" w:eastAsia="仿宋"/>
          <w:bCs w:val="0"/>
          <w:sz w:val="30"/>
          <w:szCs w:val="30"/>
          <w:highlight w:val="none"/>
        </w:rPr>
      </w:pPr>
      <w:bookmarkStart w:id="16" w:name="_Toc11706"/>
      <w:r>
        <w:rPr>
          <w:rFonts w:hint="eastAsia" w:ascii="仿宋" w:hAnsi="仿宋" w:eastAsia="仿宋"/>
          <w:bCs w:val="0"/>
          <w:sz w:val="30"/>
          <w:szCs w:val="30"/>
          <w:highlight w:val="none"/>
        </w:rPr>
        <w:t>黑龙江省佳电自研科技开发有限公司</w:t>
      </w:r>
      <w:bookmarkEnd w:id="16"/>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黑龙江省佳电自研科技开发有限公司的前身是成立于2005年的佳木斯大学电气自动化和计算机研究所。2014年9月，在李克强总理于夏季达沃斯论坛上公开提出的“大众创业、万众创新”的政策感召下，以研究所为基础成立了“黑龙江省佳电自研科技开发有限公司”，公司采取股份制，按照现代企业模式运营。公司在2018年度科技部中国创新创业大赛黑龙江赛区获得优胜企业称号并入围国赛，于2020年获批国家级高新技术企业称号。</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根据自身技术优势和地域特点，确立了“物联网”和“自动化”两个主要业务方向。公司采取“产品研发”和“成果转化与工程应用”并举的模式，取得了优秀的业绩。公司开发的“绿色有机水稻质量安全追溯系统”、“互联网+农业综合管理平台”等用于汤原县太平川乡“农技服务体系物联网工程”和农垦总局洪河农场、浓江农场互联网+项目；开发的物联网网关和RTU模块应用于中国农科院信息所“水稻育种催芽车间原型”和佳木斯市传媒大厦空调集控项目中。</w:t>
      </w:r>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rPr>
        <w:t>2021年度开发的工业互联网项目-“制药机械远程运维云平台”已应用于黑龙江迪尔制药机械有限责任公司，为企业产品升级和售后服务提供了技术支撑，这是黑龙江省东工业物联网应用的典型案例</w:t>
      </w:r>
      <w:r>
        <w:rPr>
          <w:rFonts w:hint="eastAsia" w:ascii="仿宋" w:hAnsi="仿宋" w:eastAsia="仿宋" w:cs="宋体"/>
          <w:bCs/>
          <w:kern w:val="0"/>
          <w:sz w:val="30"/>
          <w:szCs w:val="30"/>
          <w:highlight w:val="none"/>
          <w:lang w:eastAsia="zh-CN"/>
        </w:rPr>
        <w:t>。</w:t>
      </w:r>
    </w:p>
    <w:p>
      <w:pPr>
        <w:ind w:firstLine="600" w:firstLineChars="200"/>
        <w:rPr>
          <w:rFonts w:hint="eastAsia" w:ascii="仿宋" w:hAnsi="仿宋" w:eastAsia="仿宋" w:cs="宋体"/>
          <w:bCs/>
          <w:kern w:val="0"/>
          <w:sz w:val="30"/>
          <w:szCs w:val="30"/>
          <w:highlight w:val="none"/>
          <w:lang w:eastAsia="zh-CN"/>
        </w:rPr>
      </w:pPr>
    </w:p>
    <w:p>
      <w:pPr>
        <w:pStyle w:val="3"/>
        <w:numPr>
          <w:ilvl w:val="0"/>
          <w:numId w:val="2"/>
        </w:numPr>
        <w:rPr>
          <w:rFonts w:ascii="仿宋" w:hAnsi="仿宋" w:eastAsia="仿宋"/>
          <w:bCs w:val="0"/>
          <w:sz w:val="30"/>
          <w:szCs w:val="30"/>
          <w:highlight w:val="none"/>
        </w:rPr>
      </w:pPr>
      <w:bookmarkStart w:id="17" w:name="_Toc2679"/>
      <w:r>
        <w:rPr>
          <w:rFonts w:hint="eastAsia" w:ascii="仿宋" w:hAnsi="仿宋" w:eastAsia="仿宋"/>
          <w:bCs w:val="0"/>
          <w:sz w:val="30"/>
          <w:szCs w:val="30"/>
          <w:highlight w:val="none"/>
        </w:rPr>
        <w:t>万达信息股份有限公司</w:t>
      </w:r>
      <w:bookmarkEnd w:id="17"/>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rPr>
        <w:t>万达信息股份有限公司是国内领先的智慧城市整体解决方案提供商之一。作为国家规划布局内重点软件企业，万达信息拥有国际一流的资质，是全国首家整体通过CMMI5（软件能力成熟度模型最高等级）认证的企业。万达信息的业务涵盖医疗卫生、智慧政务、市场监管、民生保障、城市安全、智慧教育、ICT信息科技创新、健康管理和智慧城市公共平台的建设与运营。其中，卫生健康、民生保障、智慧城市公共平台等公司业务服务全国8亿人口</w:t>
      </w:r>
      <w:r>
        <w:rPr>
          <w:rFonts w:hint="eastAsia" w:ascii="仿宋" w:hAnsi="仿宋" w:eastAsia="仿宋" w:cs="宋体"/>
          <w:bCs/>
          <w:kern w:val="0"/>
          <w:sz w:val="30"/>
          <w:szCs w:val="30"/>
          <w:highlight w:val="none"/>
          <w:lang w:eastAsia="zh-CN"/>
        </w:rPr>
        <w:t>。</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lang w:val="en-US" w:eastAsia="zh-CN"/>
        </w:rPr>
        <w:t>万达信息作为工信部电信研究院共同申报“CID物联网标识”课题联合单位，为国家物联网标识公共服务平台的CID子平台开发了CID注册、解析、分配管理、公共查询、安全认证、数据中心等系统，2016年底在中科院学部礼堂及广东中科院南沙基地做初验和终验。万达信息以应用为导向，以试点示范为抓手，在产品溯源、农业物联网、智慧环保、智慧城管等，CID物联网标识分别在河南信阳、山东临沂及宁夏吴忠等地的智慧城市建设中进行试点应用及推广。</w:t>
      </w:r>
    </w:p>
    <w:p>
      <w:pPr>
        <w:pStyle w:val="3"/>
        <w:numPr>
          <w:ilvl w:val="0"/>
          <w:numId w:val="2"/>
        </w:numPr>
        <w:rPr>
          <w:rFonts w:ascii="仿宋" w:hAnsi="仿宋" w:eastAsia="仿宋"/>
          <w:bCs w:val="0"/>
          <w:sz w:val="30"/>
          <w:szCs w:val="30"/>
          <w:highlight w:val="none"/>
        </w:rPr>
      </w:pPr>
      <w:bookmarkStart w:id="18" w:name="_Toc13561"/>
      <w:r>
        <w:rPr>
          <w:rFonts w:hint="eastAsia" w:ascii="仿宋" w:hAnsi="仿宋" w:eastAsia="仿宋"/>
          <w:bCs w:val="0"/>
          <w:sz w:val="30"/>
          <w:szCs w:val="30"/>
          <w:highlight w:val="none"/>
        </w:rPr>
        <w:t>内蒙古伊泰信息技术有限公司</w:t>
      </w:r>
      <w:bookmarkEnd w:id="18"/>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伊泰信息为国家高新技术企业，是一家致力于能源行业数字化解决方案及信息技术综合服务提供商。公司前身是伊泰集团的信息管理中心，依托伊泰集团多元化产业资源与信息化建设实践，积累了丰富的行业经验，现已构建起完整的IT服务价值链，为客户提供咨询、研发、集成和运维等贯穿信息化建设整个生命周期的服务。公司被评为煤炭工业两化融合先进单位、自治区级企业研究开发中心，鄂尔多斯市产业创业人才团队、诚信示范企业。</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致力于通过大数据、物联网、人工智能等新一代信息技术的研究与应用，推动煤炭产业工业互联网创新应用发展。公司自主研发了煤炭供应链工业互联网平台系列软、硬件产品，基本解决煤炭供应链数据无法共享的现状，为煤炭全业务链提供完整的业务支持和流程支撑，技术处于行业领先水平，对各企业具有广泛的应用价值和经济利益。公司通过物联网技术的研究与应用，自主研发现场管理智能控制仪，实现设备与设备互联互通，支持OPC、MQ、RS232、RS485、SSH、SIP等多种数据协议，可接入不同类型地磅、采样机装备、火车轨道衡设备、自动装车系统、化验室设施设备及信息系统等设备实施，化繁为简，实现工业互联与数据采集应用。</w:t>
      </w:r>
    </w:p>
    <w:p>
      <w:pPr>
        <w:pStyle w:val="3"/>
        <w:numPr>
          <w:ilvl w:val="0"/>
          <w:numId w:val="2"/>
        </w:numPr>
        <w:rPr>
          <w:rFonts w:ascii="仿宋" w:hAnsi="仿宋" w:eastAsia="仿宋"/>
          <w:bCs w:val="0"/>
          <w:sz w:val="30"/>
          <w:szCs w:val="30"/>
          <w:highlight w:val="none"/>
        </w:rPr>
      </w:pPr>
      <w:bookmarkStart w:id="19" w:name="_Toc7289"/>
      <w:r>
        <w:rPr>
          <w:rFonts w:hint="eastAsia" w:ascii="仿宋" w:hAnsi="仿宋" w:eastAsia="仿宋"/>
          <w:bCs w:val="0"/>
          <w:sz w:val="30"/>
          <w:szCs w:val="30"/>
          <w:highlight w:val="none"/>
        </w:rPr>
        <w:t>成都西加云杉科技有限公司</w:t>
      </w:r>
      <w:bookmarkEnd w:id="19"/>
    </w:p>
    <w:p>
      <w:pPr>
        <w:ind w:firstLine="600" w:firstLineChars="200"/>
        <w:rPr>
          <w:rFonts w:hint="eastAsia" w:ascii="仿宋" w:hAnsi="仿宋" w:eastAsia="仿宋"/>
          <w:bCs/>
          <w:sz w:val="30"/>
          <w:szCs w:val="30"/>
          <w:highlight w:val="none"/>
        </w:rPr>
      </w:pPr>
      <w:r>
        <w:rPr>
          <w:rFonts w:hint="eastAsia" w:ascii="仿宋" w:hAnsi="仿宋" w:eastAsia="仿宋"/>
          <w:bCs/>
          <w:sz w:val="30"/>
          <w:szCs w:val="30"/>
          <w:highlight w:val="none"/>
        </w:rPr>
        <w:t>成都西加云杉科技有限公司成立于2012年，公司总部坐落于四川省成都高新区，公司获得高新技术企业、四川省企业技术中心、四川省经信厅认定的首批八家信息消费示范企业之一，四川省和成都市高层次人才创新创业团队。公司以美国硅谷技术为核心，建立硅谷，成都及新北三地研发中心，并在北京，香港，硅谷设立营销中心。公司现已申请100多项发明专利，授权发明专利已超过50项，同时还拥有超过20余项的国际发明专利</w:t>
      </w:r>
      <w:r>
        <w:rPr>
          <w:rFonts w:hint="eastAsia" w:ascii="仿宋" w:hAnsi="仿宋" w:eastAsia="仿宋"/>
          <w:bCs/>
          <w:sz w:val="30"/>
          <w:szCs w:val="30"/>
          <w:highlight w:val="none"/>
          <w:lang w:eastAsia="zh-CN"/>
        </w:rPr>
        <w:t>。</w:t>
      </w:r>
      <w:r>
        <w:rPr>
          <w:rFonts w:hint="eastAsia" w:ascii="仿宋" w:hAnsi="仿宋" w:eastAsia="仿宋"/>
          <w:bCs/>
          <w:sz w:val="30"/>
          <w:szCs w:val="30"/>
          <w:highlight w:val="none"/>
        </w:rPr>
        <w:t xml:space="preserve"> </w:t>
      </w:r>
    </w:p>
    <w:p>
      <w:pPr>
        <w:ind w:firstLine="600" w:firstLineChars="200"/>
        <w:rPr>
          <w:rFonts w:ascii="仿宋" w:hAnsi="仿宋" w:eastAsia="仿宋"/>
          <w:bCs/>
          <w:sz w:val="30"/>
          <w:szCs w:val="30"/>
          <w:highlight w:val="none"/>
        </w:rPr>
      </w:pPr>
      <w:r>
        <w:rPr>
          <w:rFonts w:hint="eastAsia" w:ascii="仿宋" w:hAnsi="仿宋" w:eastAsia="仿宋"/>
          <w:bCs/>
          <w:sz w:val="30"/>
          <w:szCs w:val="30"/>
          <w:highlight w:val="none"/>
        </w:rPr>
        <w:t>公司致力于解决运营商4G/5G与Wi-Fi融合的用户体验（QoE: Quality of Experience) 问题，为运营商以及众多智慧园区、智慧城市的运营提供信息高速公路的优质基础支撑及大数据采集运营大平台。该平台具有管控规模大，扩展性极强，用户体验好，易管理，兼容包括5G小基站在内的未来无线接入技术，采集大数据和支持各种智慧应用的开放接口等特性。针对工业互联网相关的产品有工业级交换机，工业级AP</w:t>
      </w:r>
      <w:r>
        <w:rPr>
          <w:rFonts w:hint="eastAsia" w:ascii="仿宋" w:hAnsi="仿宋" w:eastAsia="仿宋"/>
          <w:bCs/>
          <w:sz w:val="30"/>
          <w:szCs w:val="30"/>
          <w:highlight w:val="none"/>
          <w:lang w:val="en-US" w:eastAsia="zh-CN"/>
        </w:rPr>
        <w:t>P</w:t>
      </w:r>
      <w:r>
        <w:rPr>
          <w:rFonts w:hint="eastAsia" w:ascii="仿宋" w:hAnsi="仿宋" w:eastAsia="仿宋"/>
          <w:bCs/>
          <w:sz w:val="30"/>
          <w:szCs w:val="30"/>
          <w:highlight w:val="none"/>
        </w:rPr>
        <w:t xml:space="preserve">，工业级SD-WAN安全网关，以及管控平台；解决工业场景有线无线一体化接入、和安全控制，以及业务赋能平台。 </w:t>
      </w:r>
    </w:p>
    <w:p>
      <w:pPr>
        <w:pStyle w:val="3"/>
        <w:numPr>
          <w:ilvl w:val="0"/>
          <w:numId w:val="2"/>
        </w:numPr>
        <w:rPr>
          <w:rFonts w:ascii="仿宋" w:hAnsi="仿宋" w:eastAsia="仿宋"/>
          <w:bCs w:val="0"/>
          <w:sz w:val="30"/>
          <w:szCs w:val="30"/>
          <w:highlight w:val="none"/>
        </w:rPr>
      </w:pPr>
      <w:bookmarkStart w:id="20" w:name="_Toc30036"/>
      <w:r>
        <w:rPr>
          <w:rFonts w:hint="eastAsia" w:ascii="仿宋" w:hAnsi="仿宋" w:eastAsia="仿宋"/>
          <w:bCs w:val="0"/>
          <w:sz w:val="30"/>
          <w:szCs w:val="30"/>
          <w:highlight w:val="none"/>
        </w:rPr>
        <w:t>北京海航中软科技有限公司</w:t>
      </w:r>
      <w:bookmarkEnd w:id="20"/>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猿人行走隶属于北京海航中软科技有限公司。以深度学习可视化分析为核心竞争力，致力于提升边缘计算能力与人工智能工程的研究及应用。通过物联网前端视觉触景，打造“算法、算力、数据和工程化”四位一体的AI新生态。</w:t>
      </w:r>
    </w:p>
    <w:p>
      <w:pPr>
        <w:ind w:firstLine="600" w:firstLineChars="200"/>
        <w:rPr>
          <w:rFonts w:ascii="仿宋" w:hAnsi="仿宋" w:eastAsia="仿宋" w:cs="宋体"/>
          <w:bCs/>
          <w:kern w:val="0"/>
          <w:sz w:val="30"/>
          <w:szCs w:val="30"/>
          <w:highlight w:val="none"/>
        </w:rPr>
      </w:pPr>
      <w:r>
        <w:rPr>
          <w:rFonts w:hint="eastAsia" w:ascii="仿宋" w:hAnsi="仿宋" w:eastAsia="仿宋" w:cs="宋体"/>
          <w:bCs/>
          <w:kern w:val="0"/>
          <w:sz w:val="30"/>
          <w:szCs w:val="30"/>
          <w:highlight w:val="none"/>
          <w:lang w:val="en-US" w:eastAsia="zh-CN"/>
        </w:rPr>
        <w:t>猿人行走始终坚持自主创新之路，拥有全栈式人工智能核心自研技术，自主研发算法底层框架，将通常情况下定制开发的边缘计算场景周期120天，缩短为50天。采用专门针对边缘场景设计的嵌入式系统，通过对GPU/NPU平台的深刻理解和GPU/NPU技术资源的积累，以及对行业市场趋势的洞察，推出深度学习算法的视频结构化行为分析盒-ApemanAI视频分析边缘盒，可在高集成、低功耗、轻量化场景下提供最具性价比的算力和算法，为客户创造极致效能。</w:t>
      </w:r>
    </w:p>
    <w:p>
      <w:pPr>
        <w:pStyle w:val="3"/>
        <w:numPr>
          <w:ilvl w:val="0"/>
          <w:numId w:val="2"/>
        </w:numPr>
        <w:rPr>
          <w:rFonts w:ascii="仿宋" w:hAnsi="仿宋" w:eastAsia="仿宋"/>
          <w:bCs w:val="0"/>
          <w:sz w:val="30"/>
          <w:szCs w:val="30"/>
          <w:highlight w:val="none"/>
        </w:rPr>
      </w:pPr>
      <w:bookmarkStart w:id="21" w:name="_Toc12123"/>
      <w:r>
        <w:rPr>
          <w:rFonts w:hint="eastAsia" w:ascii="仿宋" w:hAnsi="仿宋" w:eastAsia="仿宋"/>
          <w:bCs w:val="0"/>
          <w:sz w:val="30"/>
          <w:szCs w:val="30"/>
          <w:highlight w:val="none"/>
        </w:rPr>
        <w:t>合肥达朴汇联科技有限公司</w:t>
      </w:r>
      <w:r>
        <w:rPr>
          <w:rFonts w:ascii="Calibri" w:hAnsi="Calibri" w:eastAsia="仿宋" w:cs="Calibri"/>
          <w:bCs w:val="0"/>
          <w:sz w:val="30"/>
          <w:szCs w:val="30"/>
          <w:highlight w:val="none"/>
        </w:rPr>
        <w:t> </w:t>
      </w:r>
      <w:bookmarkEnd w:id="21"/>
    </w:p>
    <w:p>
      <w:pPr>
        <w:ind w:firstLine="600" w:firstLineChars="200"/>
        <w:rPr>
          <w:rFonts w:ascii="仿宋" w:hAnsi="仿宋" w:eastAsia="仿宋" w:cs="宋体"/>
          <w:bCs/>
          <w:kern w:val="0"/>
          <w:sz w:val="30"/>
          <w:szCs w:val="30"/>
          <w:highlight w:val="none"/>
        </w:rPr>
      </w:pPr>
      <w:r>
        <w:rPr>
          <w:rFonts w:hint="eastAsia" w:ascii="仿宋" w:hAnsi="仿宋" w:eastAsia="仿宋" w:cs="宋体"/>
          <w:bCs/>
          <w:kern w:val="0"/>
          <w:sz w:val="30"/>
          <w:szCs w:val="30"/>
          <w:highlight w:val="none"/>
        </w:rPr>
        <w:t>合肥达朴汇联科技有限公司是一家专注于物联网区块链平台与机密计算的公司，公司于2017年成立，现为高新技术企业，是信通院可信区块链推进计划理事单位、北京物联网协会理事单位、安徽省合肥市区块链产业联盟副理事长单位和合肥市高新区区块链产业联盟理事长单位。公司的主要产品包括区块链Dappley、机密计算、隐私计算、供应链金融、区块链设备身份认证系统等。</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在基于区块链去中心化身份的工业互联网标识解析解决方案中拥有丰富的经验。通过和中国联通研究院的深度合作，首次在行业内将区块链集成在eSIM卡内。以及中标中国联通研究院确定性身份管理技术验证系统项目并顺利验收，成功进行了基于区块链去中心化身份的确定性网络设备身份管理的技术验证。</w:t>
      </w:r>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rPr>
        <w:t>公司后续会继续加快产业化基于区块链去中心化身份工业互联网标识解析方案，以及拓展基于该方案的应用场景。例如基于去中心化身份的设备点对点安全传输基础软件研发，以及基于去中心化身份的设备泛在接入基础软件研发等。</w:t>
      </w:r>
    </w:p>
    <w:p>
      <w:pPr>
        <w:pStyle w:val="3"/>
        <w:numPr>
          <w:ilvl w:val="0"/>
          <w:numId w:val="2"/>
        </w:numPr>
        <w:rPr>
          <w:rFonts w:ascii="仿宋" w:hAnsi="仿宋" w:eastAsia="仿宋"/>
          <w:bCs w:val="0"/>
          <w:sz w:val="30"/>
          <w:szCs w:val="30"/>
          <w:highlight w:val="none"/>
        </w:rPr>
      </w:pPr>
      <w:bookmarkStart w:id="22" w:name="_Toc7019"/>
      <w:r>
        <w:rPr>
          <w:rFonts w:hint="eastAsia" w:ascii="仿宋" w:hAnsi="仿宋" w:eastAsia="仿宋"/>
          <w:bCs w:val="0"/>
          <w:sz w:val="30"/>
          <w:szCs w:val="30"/>
          <w:highlight w:val="none"/>
        </w:rPr>
        <w:t>北京瑞鹏天乘信息技术有限公司</w:t>
      </w:r>
      <w:bookmarkEnd w:id="22"/>
    </w:p>
    <w:p>
      <w:pPr>
        <w:ind w:firstLine="600" w:firstLineChars="200"/>
        <w:rPr>
          <w:rFonts w:ascii="仿宋" w:hAnsi="仿宋" w:eastAsia="仿宋" w:cs="宋体"/>
          <w:bCs/>
          <w:kern w:val="0"/>
          <w:sz w:val="30"/>
          <w:szCs w:val="30"/>
          <w:highlight w:val="none"/>
        </w:rPr>
      </w:pPr>
      <w:r>
        <w:rPr>
          <w:rFonts w:hint="eastAsia" w:ascii="仿宋" w:hAnsi="仿宋" w:eastAsia="仿宋" w:cs="宋体"/>
          <w:bCs/>
          <w:kern w:val="0"/>
          <w:sz w:val="30"/>
          <w:szCs w:val="30"/>
          <w:highlight w:val="none"/>
        </w:rPr>
        <w:t>北京瑞鹏天乘信息技术有限公司成立于2012年，先后取得国高新、中高新、保密二级、涉密系统集成、GJB9001C、CMMI三级等资质证书，多年深耕工业互联网、智能制造、大数据等业务领域。公司始终以精准的需求分析能力、专业的技术研发力量和全方位的服务运维保障，为客户提供高品质自主工业软件技术与产品，同时打造了一流的项目科研服务团队，具备丰富的工业互联网工程实践经验，项目实施效果得到客户的广泛好评！</w:t>
      </w:r>
    </w:p>
    <w:p>
      <w:pPr>
        <w:ind w:firstLine="600" w:firstLineChars="200"/>
        <w:rPr>
          <w:rFonts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多年深耕军工领域工业互联网技术与产品，积累了丰富的项目实施经验及客户口碑，并不断求变求新，积极适应智能化及国产化发展趋势，依托微服务、大数据及人工智能等先进技术，打造了国产自主工业软件品牌“瑞云（Real Cloud）”，通过构建新一代工业互联网SaaS云平台及工业APP微服务，为企业用户提供设备物联、能源管控、制造协同、工业大脑等一站式解决方案。面向生产制造过程中库存消耗预测、物料动态管理、生产智能排程、质量工艺提升等“细、专、难”等典型应用场景，通过智能建模、挖掘分析等手段，帮助企业解决应用问题、提升潜在价值，赋能制造企业实现数字化向智能化转型升级。</w:t>
      </w:r>
    </w:p>
    <w:p>
      <w:pPr>
        <w:pStyle w:val="3"/>
        <w:numPr>
          <w:ilvl w:val="0"/>
          <w:numId w:val="2"/>
        </w:numPr>
        <w:rPr>
          <w:rFonts w:ascii="仿宋" w:hAnsi="仿宋" w:eastAsia="仿宋"/>
          <w:bCs w:val="0"/>
          <w:sz w:val="30"/>
          <w:szCs w:val="30"/>
          <w:highlight w:val="none"/>
        </w:rPr>
      </w:pPr>
      <w:bookmarkStart w:id="23" w:name="_Toc4350"/>
      <w:r>
        <w:rPr>
          <w:rFonts w:hint="eastAsia" w:ascii="仿宋" w:hAnsi="仿宋" w:eastAsia="仿宋"/>
          <w:bCs w:val="0"/>
          <w:sz w:val="30"/>
          <w:szCs w:val="30"/>
          <w:highlight w:val="none"/>
        </w:rPr>
        <w:t>北京诚公管理咨询有限公司</w:t>
      </w:r>
      <w:bookmarkEnd w:id="23"/>
    </w:p>
    <w:p>
      <w:pPr>
        <w:ind w:firstLine="6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rPr>
        <w:t>北京诚公管理咨询有限公司，是央企中国通信建设集团有限公司设立的子公司，是一家集通信工程监理、工程技术咨询、招标代理、保险经纪代理、培训咨询等业务的管理咨询企业。2001年7月，公司已通过了ISO9001:2000国际质量标准认证。北京诚公总部设在北京，同时在北京、保定、西安、武汉和郑州等地设有分公司。公司总用工人数为 2316 人。</w:t>
      </w:r>
    </w:p>
    <w:p>
      <w:pPr>
        <w:ind w:firstLine="6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北京诚公管理咨询有限公司拥有高、中级工程技术专业人员900 余人，是一个技术力量雄厚、专业齐全的智力密集型通信工程咨询管理企业，公司在我国通信骨干网（包括我国第一条光缆工程试验段和“八纵八横”光缆骨干网）建设中多年承担工程指挥等管理和技术工作。先后与中国电信、中国移动、中国联通三大电信运营商及其在各省的下属企业建立了广泛密切的联系，竭诚为国内外顾客提供优质、满意的监理和咨询服务。</w:t>
      </w:r>
    </w:p>
    <w:p>
      <w:pPr>
        <w:pStyle w:val="3"/>
        <w:numPr>
          <w:ilvl w:val="0"/>
          <w:numId w:val="2"/>
        </w:numPr>
        <w:rPr>
          <w:rFonts w:ascii="仿宋" w:hAnsi="仿宋" w:eastAsia="仿宋"/>
          <w:bCs w:val="0"/>
          <w:sz w:val="30"/>
          <w:szCs w:val="30"/>
          <w:highlight w:val="none"/>
        </w:rPr>
      </w:pPr>
      <w:bookmarkStart w:id="24" w:name="_Toc10860"/>
      <w:r>
        <w:rPr>
          <w:rFonts w:hint="eastAsia" w:ascii="仿宋" w:hAnsi="仿宋" w:eastAsia="仿宋"/>
          <w:bCs w:val="0"/>
          <w:sz w:val="30"/>
          <w:szCs w:val="30"/>
          <w:highlight w:val="none"/>
        </w:rPr>
        <w:t>广州珂诚信息技术有限公司</w:t>
      </w:r>
      <w:bookmarkEnd w:id="24"/>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广州珂诚信息技术有限公司对快消行业的设备和生产工艺有较深的理解，致力于快消行业企业实施可落地的高品质信息系统和控制系统，帮助客户提高生产力及可持续发展。珂诚专注于技术创新，贴近客户，以一流的技术团队，工程服务团队以及产品开发团队，加上高效的公司管理体系在市场上受到良好信赖。现公司已经发展成以自动化工程服务，信息化解决方案以及控制系统集成三大业务为核心业务，业务覆盖各个行业。</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珂诚致力于工业信息化软件产品的研发，通过持续研发投入，珂诚拥有一系列自主知识产权软件产品及平台，包括工业软件产品，采用云平台+模块化部署，具有国际领先技术水平。</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目前珂诚已经拥有40余项软件著作权和软件产品，相关软件产品已经成功应用到大量领先企业客户的智能制造项目中，满足不同行业的多样化、定制化以及高品质的需求。珂诚的主要客户均为行业龙头企业，并为客户提供全厂数字化建设项目、工业大数据平台、工业应用系统等信息化服务，满足生产调度、智能物流、设备运维、设计协同、端到端物料追踪等个性化需求，并取得客户一致好评，成为客户高持续性供应商。</w:t>
      </w:r>
    </w:p>
    <w:p>
      <w:pPr>
        <w:pStyle w:val="3"/>
        <w:numPr>
          <w:ilvl w:val="0"/>
          <w:numId w:val="2"/>
        </w:numPr>
        <w:rPr>
          <w:rFonts w:ascii="仿宋" w:hAnsi="仿宋" w:eastAsia="仿宋"/>
          <w:bCs w:val="0"/>
          <w:sz w:val="30"/>
          <w:szCs w:val="30"/>
          <w:highlight w:val="none"/>
        </w:rPr>
      </w:pPr>
      <w:bookmarkStart w:id="25" w:name="_Toc14688"/>
      <w:r>
        <w:rPr>
          <w:rFonts w:hint="eastAsia" w:ascii="仿宋" w:hAnsi="仿宋" w:eastAsia="仿宋"/>
          <w:bCs w:val="0"/>
          <w:sz w:val="30"/>
          <w:szCs w:val="30"/>
          <w:highlight w:val="none"/>
        </w:rPr>
        <w:t>深圳市中物互联技术发展有限公司</w:t>
      </w:r>
      <w:bookmarkEnd w:id="25"/>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深圳市中物互联技术发展有限公司坐落于深圳市福田区天安数码城，是国内首家提供园企生态工业互联网全套解决方案的高科技企业。公司创始团队拥有超过20年智慧园区管理经验，建立了具备业内一定竞争优势的“千仞云”系统，目前已从智慧园企系统，升级打造为全国领先的园企生态工业互联网系统。公司拥有卓越的智慧园区解决方案、算法模型开发等研发设计、方案落地、平台运维等综合能力。</w:t>
      </w:r>
    </w:p>
    <w:p>
      <w:pPr>
        <w:ind w:firstLine="600" w:firstLineChars="200"/>
        <w:rPr>
          <w:rFonts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已经拥有完备的6大技术体系【智感、智联、智控、智服、智维、智脑】，拥有4大核心技术【AI智子网关、物联网中台、大数据中台、算法模型】；4大应用领域【数字设施、数字应急、数字工厂、数字园区】;为“千仞云”园企生态工业互联网平台系统，在边缘能力、工业大数据、工业数据管理、工业模型、工业应用开发及人机交互、工业APP等方面的能力体现以及在平台架构设计、应用开发、模式创新、产品服务等方面，奠定了坚实的基础。助力平台的应用推广，加速工业互联网生态体系的构建。</w:t>
      </w:r>
    </w:p>
    <w:p>
      <w:pPr>
        <w:pStyle w:val="3"/>
        <w:numPr>
          <w:ilvl w:val="0"/>
          <w:numId w:val="2"/>
        </w:numPr>
        <w:rPr>
          <w:rFonts w:ascii="仿宋" w:hAnsi="仿宋" w:eastAsia="仿宋"/>
          <w:bCs w:val="0"/>
          <w:sz w:val="30"/>
          <w:szCs w:val="30"/>
          <w:highlight w:val="none"/>
        </w:rPr>
      </w:pPr>
      <w:bookmarkStart w:id="26" w:name="_Toc23999"/>
      <w:r>
        <w:rPr>
          <w:rFonts w:hint="eastAsia" w:ascii="仿宋" w:hAnsi="仿宋" w:eastAsia="仿宋"/>
          <w:bCs w:val="0"/>
          <w:sz w:val="30"/>
          <w:szCs w:val="30"/>
          <w:highlight w:val="none"/>
        </w:rPr>
        <w:t>广西九维时空数字产业发展有限公司</w:t>
      </w:r>
      <w:bookmarkEnd w:id="26"/>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是中国-东盟空间信息技术创新示范基地和中国-东盟北斗/GNSS（南宁）中心的运营方，致力于广西卫星应用产业发展支撑体系建设，重点打造高精度北斗综合位置服务、东盟时空中心、智能终端研发、产品检测服务、数字贸易平台、软件开发及服务外包、时空主题科普研学、产教融合等项目；同时，搭建卫星应用及北斗时空信息全产业链，增强面向东盟的产业输出和服务能力，推动国内国际北斗产业市场相互促进的新发展格局。</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致力于将北斗时空技术体系与传统产业的融合，推动传统产业向数字化转型，现已与农业、交通、传统贸易、分布式能源、应急、环保、教育等重点领域进行合作，促进数字经济的发展。鉴于北斗时空拥有海量的应用场景，非常适合与标识解析体系进行融合。</w:t>
      </w:r>
    </w:p>
    <w:p>
      <w:pPr>
        <w:pStyle w:val="3"/>
        <w:numPr>
          <w:ilvl w:val="0"/>
          <w:numId w:val="2"/>
        </w:numPr>
        <w:rPr>
          <w:rFonts w:ascii="仿宋" w:hAnsi="仿宋" w:eastAsia="仿宋"/>
          <w:bCs w:val="0"/>
          <w:sz w:val="30"/>
          <w:szCs w:val="30"/>
          <w:highlight w:val="none"/>
        </w:rPr>
      </w:pPr>
      <w:bookmarkStart w:id="27" w:name="_Toc5149"/>
      <w:r>
        <w:rPr>
          <w:rFonts w:hint="eastAsia" w:ascii="仿宋" w:hAnsi="仿宋" w:eastAsia="仿宋"/>
          <w:bCs w:val="0"/>
          <w:sz w:val="30"/>
          <w:szCs w:val="30"/>
          <w:highlight w:val="none"/>
        </w:rPr>
        <w:t>码客工场工业科技（北京）有限公司</w:t>
      </w:r>
      <w:bookmarkEnd w:id="27"/>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码客工场工业科技（北京）有限公司是一家致力于应用创新、集成创新，为企业构建工业智能化平台，构架新型服务能力，加快企业数字化转型的新一代信息技术企业。公司结合清华大学学科资源优势及科技成果转化优势，深度融合云计算、大数据、物联网、人工智能等先进技术，为企业提供以自动化、网络化、平台化、智能化为基础的综合解决方案，聚焦于引领传统制造走向智能制造，构建“工业互联网+先进制造业”新生态。</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lang w:val="en-US" w:eastAsia="zh-CN"/>
        </w:rPr>
        <w:t>公司</w:t>
      </w:r>
      <w:r>
        <w:rPr>
          <w:rFonts w:hint="eastAsia" w:ascii="仿宋" w:hAnsi="仿宋" w:eastAsia="仿宋" w:cs="宋体"/>
          <w:bCs/>
          <w:kern w:val="0"/>
          <w:sz w:val="30"/>
          <w:szCs w:val="30"/>
          <w:highlight w:val="none"/>
        </w:rPr>
        <w:t>已建成工业互联网标识服务管理平台、标识规模数据可视化监控系统和应用于铁路运输行业的工业互联网平台。面向大型企业集团提供一体化的数字工厂解决方案，并通过商业智能辅助运营决策；面向中小企业提供服务于企业实际生产、管理环节的典型应用，以网络化的方式在重要环节提升企业的生产管理水平。公司核心团队成员参与过工信部2019年与2020年工业互联网创新发展工程专项；作为专家组成员牵头、参与起草了国家标准、行业标准及白皮书六项；研发了常青藤工业互联网平台，是山西省唯一经工信部认证的可信工业互联网平台。培训讲师团队由“千人计划”培训讲师团队由“千人计划”专家、清华大学教授与中科院博士构成。</w:t>
      </w:r>
    </w:p>
    <w:p>
      <w:pPr>
        <w:pStyle w:val="3"/>
        <w:numPr>
          <w:ilvl w:val="0"/>
          <w:numId w:val="2"/>
        </w:numPr>
        <w:rPr>
          <w:rFonts w:hint="eastAsia" w:ascii="仿宋" w:hAnsi="仿宋" w:eastAsia="仿宋"/>
          <w:bCs w:val="0"/>
          <w:sz w:val="30"/>
          <w:szCs w:val="30"/>
          <w:highlight w:val="none"/>
        </w:rPr>
      </w:pPr>
      <w:bookmarkStart w:id="28" w:name="_Toc258"/>
      <w:r>
        <w:rPr>
          <w:rFonts w:hint="eastAsia" w:ascii="仿宋" w:hAnsi="仿宋" w:eastAsia="仿宋"/>
          <w:bCs w:val="0"/>
          <w:sz w:val="30"/>
          <w:szCs w:val="30"/>
          <w:highlight w:val="none"/>
        </w:rPr>
        <w:t>广州市锐赛科技有限公司</w:t>
      </w:r>
      <w:bookmarkEnd w:id="28"/>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锐赛科技致力于成为卓越的企业综合能源精益管理产品服务商，深耕电气领域，将领先的电气应用技术与云计算、大数据、工业互联网等新一代信息技术融合创新，为用户提供工业互联网服务和云应用部署服务，我们期望通过成熟的实践经验、创新性的产品，帮助制造业企业客户跳出空间限制彻底改造价值链，重塑制造企业核心竞争力，成为数字变革的业务受益者。</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锐赛科技工业互联网服务，是从底端设备帮助制造业企业实现数字化转型，通过自主研发有发明专利的电气智能装备，采集生产设备的用电及运行状况数据，在边缘、云端进行数据的计算和分析，构建互联互通、边云协同的生产设备物联网，辅以人机交互界面，实现了数字化网络化制造与HCPS系统。</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同时，在顶层形成设备绩效、能效、运维等的应用分析，为制造业企业提供企业能源管理、企业节能管理、生产设备能效管理等服务，助力制造业企业的精益运营、精益生产、精益运维。</w:t>
      </w:r>
    </w:p>
    <w:p>
      <w:pPr>
        <w:pStyle w:val="3"/>
        <w:numPr>
          <w:ilvl w:val="0"/>
          <w:numId w:val="2"/>
        </w:numPr>
        <w:rPr>
          <w:rFonts w:hint="eastAsia" w:ascii="仿宋" w:hAnsi="仿宋" w:eastAsia="仿宋"/>
          <w:bCs w:val="0"/>
          <w:sz w:val="30"/>
          <w:szCs w:val="30"/>
          <w:highlight w:val="none"/>
        </w:rPr>
      </w:pPr>
      <w:bookmarkStart w:id="29" w:name="_Toc23309"/>
      <w:r>
        <w:rPr>
          <w:rFonts w:hint="eastAsia" w:ascii="仿宋" w:hAnsi="仿宋" w:eastAsia="仿宋"/>
          <w:bCs w:val="0"/>
          <w:sz w:val="30"/>
          <w:szCs w:val="30"/>
          <w:highlight w:val="none"/>
        </w:rPr>
        <w:t>大连云数据科技有限公司</w:t>
      </w:r>
      <w:bookmarkEnd w:id="29"/>
    </w:p>
    <w:p>
      <w:pPr>
        <w:ind w:firstLine="600" w:firstLineChars="200"/>
        <w:rPr>
          <w:rFonts w:hint="eastAsia" w:ascii="仿宋" w:hAnsi="仿宋" w:eastAsia="仿宋" w:cs="宋体"/>
          <w:bCs/>
          <w:kern w:val="0"/>
          <w:sz w:val="30"/>
          <w:szCs w:val="30"/>
          <w:highlight w:val="none"/>
          <w:lang w:val="en-US" w:eastAsia="zh-CN"/>
        </w:rPr>
      </w:pPr>
      <w:r>
        <w:rPr>
          <w:rFonts w:hint="eastAsia" w:ascii="仿宋" w:hAnsi="仿宋" w:eastAsia="仿宋" w:cs="宋体"/>
          <w:bCs/>
          <w:kern w:val="0"/>
          <w:sz w:val="30"/>
          <w:szCs w:val="30"/>
          <w:highlight w:val="none"/>
        </w:rPr>
        <w:t>大连云数据科技有限公司成立于2020年8月，是大连市金普新区国资委控股，天港科技集团参股的混合所有制高科技企业。公司坚持政府领导、国有控股、责权清晰、市场经营的原则，结合大连大数据产业发展的基底和趋势，围绕政府公共数据整合（政务云）和产业信息聚集（工业互联网）的目标，建设开发云计算大数据平台、数据中台、应用中台和智慧应用等，主要包括IDC+云服务、IDC+5G、IDC+工业互联网、IDC+AI</w:t>
      </w:r>
      <w:r>
        <w:rPr>
          <w:rFonts w:hint="eastAsia" w:ascii="仿宋" w:hAnsi="仿宋" w:eastAsia="仿宋" w:cs="宋体"/>
          <w:bCs/>
          <w:kern w:val="0"/>
          <w:sz w:val="30"/>
          <w:szCs w:val="30"/>
          <w:highlight w:val="none"/>
          <w:lang w:val="en-US" w:eastAsia="zh-CN"/>
        </w:rPr>
        <w:t>等。</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主营业务为政务云、区域私有云、工业互联网，在平台搭建上，大连云数据科技有限公司结合政务云、区域私有云的客户存量以及大量的数据信息，搭建工业互联网平台；在平台客户导入上，凭借政府资源、股东资源拓展本地优秀客户群体；在平台维护上，大连云数据科技有限公司配备专业的运维团队，对于工业互联网平台的日常运营、维护奠定良好的基础。</w:t>
      </w:r>
    </w:p>
    <w:p>
      <w:pPr>
        <w:pStyle w:val="3"/>
        <w:numPr>
          <w:ilvl w:val="0"/>
          <w:numId w:val="2"/>
        </w:numPr>
        <w:rPr>
          <w:rFonts w:hint="eastAsia" w:ascii="仿宋" w:hAnsi="仿宋" w:eastAsia="仿宋"/>
          <w:bCs w:val="0"/>
          <w:sz w:val="30"/>
          <w:szCs w:val="30"/>
          <w:highlight w:val="none"/>
        </w:rPr>
      </w:pPr>
      <w:bookmarkStart w:id="30" w:name="_Toc14506"/>
      <w:r>
        <w:rPr>
          <w:rFonts w:hint="eastAsia" w:ascii="仿宋" w:hAnsi="仿宋" w:eastAsia="仿宋"/>
          <w:bCs w:val="0"/>
          <w:sz w:val="30"/>
          <w:szCs w:val="30"/>
          <w:highlight w:val="none"/>
        </w:rPr>
        <w:t>广东中设智控科技股份有限公司</w:t>
      </w:r>
      <w:bookmarkEnd w:id="30"/>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中设智控成立于1999年，2014年改制成为股份公司，2019年改制成国有控股混合所有制企业，隶属于广州国家级经济开发区骨干大型国企——科学城（广州）投资集团有限公司。中设智控是一家以工业互联网应用及服务、智慧城市建设为核心业务的科技型企业，致力于工业生态服务的技术创新与发展，推动智慧城市的发展，创造美好未来。</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中设智控20多年来融合中设智控ACCM理论、生产与设备管理技术、物联网、工业互联网、区块链、工业大数据、智能数据采集等先进的技术手段，为4200余家大中型企业提供工业互联网信息化产品和智慧城市解决方案等服务，客户涵盖机场、港口、烟草、石油化工、冶金、通用制造、市政等行业。</w:t>
      </w:r>
    </w:p>
    <w:p>
      <w:pPr>
        <w:pStyle w:val="3"/>
        <w:numPr>
          <w:ilvl w:val="0"/>
          <w:numId w:val="2"/>
        </w:numPr>
        <w:rPr>
          <w:rFonts w:hint="eastAsia" w:ascii="仿宋" w:hAnsi="仿宋" w:eastAsia="仿宋"/>
          <w:bCs w:val="0"/>
          <w:sz w:val="30"/>
          <w:szCs w:val="30"/>
          <w:highlight w:val="none"/>
        </w:rPr>
      </w:pPr>
      <w:bookmarkStart w:id="31" w:name="_Toc12995"/>
      <w:r>
        <w:rPr>
          <w:rFonts w:hint="eastAsia" w:ascii="仿宋" w:hAnsi="仿宋" w:eastAsia="仿宋"/>
          <w:bCs w:val="0"/>
          <w:sz w:val="30"/>
          <w:szCs w:val="30"/>
          <w:highlight w:val="none"/>
        </w:rPr>
        <w:t>北京国基科技股份有限公司</w:t>
      </w:r>
      <w:bookmarkEnd w:id="31"/>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公司成立于2004年，是国防电子和产业物联网关键技术研发和解决方案提供商，国家高新技术企业、新三板创新层（证券代码：430076）、国家专精特新小巨人企业。公司专注于智能物联网、嵌入式计算机、宽带无线、机器视觉等新一代信息技术的研发和行业集成应用，为智慧港口、油田数字化、智慧林业、智能系统应用、电信运营商、水利电力等国家重点行业提供先进可靠的产品、技术和服务。</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自研GiMAC物联网全栈应用开发平台，在此平台上开发的各类行业应用软件及相关解决方案，重点解决行业用户专业化、高复杂、小场景的生产和安全需求。对于港口行业的工业互联应用是我们的公司发展重点，已研发出了贴合港口/码头用户使用场景的系统产品和解决方案，是目前该行业能够提供门类最全解决方案的公司。</w:t>
      </w:r>
    </w:p>
    <w:p>
      <w:pPr>
        <w:pStyle w:val="3"/>
        <w:numPr>
          <w:ilvl w:val="0"/>
          <w:numId w:val="2"/>
        </w:numPr>
        <w:rPr>
          <w:rFonts w:ascii="仿宋" w:hAnsi="仿宋" w:eastAsia="仿宋"/>
          <w:bCs w:val="0"/>
          <w:sz w:val="30"/>
          <w:szCs w:val="30"/>
          <w:highlight w:val="none"/>
        </w:rPr>
      </w:pPr>
      <w:bookmarkStart w:id="32" w:name="_Toc18712"/>
      <w:r>
        <w:rPr>
          <w:rFonts w:hint="eastAsia" w:ascii="仿宋" w:hAnsi="仿宋" w:eastAsia="仿宋"/>
          <w:bCs w:val="0"/>
          <w:sz w:val="30"/>
          <w:szCs w:val="30"/>
          <w:highlight w:val="none"/>
        </w:rPr>
        <w:t>深圳市杉岩数据技术有限公司</w:t>
      </w:r>
      <w:bookmarkEnd w:id="32"/>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杉岩数据是一家面向5G+AIoT时代，提供大数据智能存储产品和解决方案的国家级高新技术企业。自2014年成立起，公司以新一代智能分布式存储技术为核心，致力于打造云计算、大数据、人工智能、物联网、区块链、金融科技等领域的数据存储基石。</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作为新一代大数据智能存储产品和方案的领导企业，杉岩数据持续聚焦于软件定义存储（SDS）技术的创新研发，自主研发的海量对象存储技术处于国内先进水平。作为新一代大数据智能存储产品和方案的领导企业，杉岩数据已累计60多项发明专利及软件著作权，是国家信标委云计算标准工作组成员。位居中国对象存储市场第一，已服务800余家标杆客户，存储总容量达4500PB以上。</w:t>
      </w:r>
    </w:p>
    <w:p>
      <w:pPr>
        <w:pStyle w:val="3"/>
        <w:numPr>
          <w:ilvl w:val="0"/>
          <w:numId w:val="2"/>
        </w:numPr>
        <w:rPr>
          <w:rFonts w:hint="eastAsia" w:ascii="仿宋" w:hAnsi="仿宋" w:eastAsia="仿宋"/>
          <w:bCs w:val="0"/>
          <w:sz w:val="30"/>
          <w:szCs w:val="30"/>
          <w:highlight w:val="none"/>
        </w:rPr>
      </w:pPr>
      <w:bookmarkStart w:id="33" w:name="_Toc32750"/>
      <w:r>
        <w:rPr>
          <w:rFonts w:hint="eastAsia" w:ascii="仿宋" w:hAnsi="仿宋" w:eastAsia="仿宋"/>
          <w:bCs w:val="0"/>
          <w:sz w:val="30"/>
          <w:szCs w:val="30"/>
          <w:highlight w:val="none"/>
        </w:rPr>
        <w:t>重庆云江工业互联网有限公司</w:t>
      </w:r>
      <w:bookmarkEnd w:id="33"/>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重庆云江工业互联网有限公司成立于2020年06月22日，由两江新区企业重庆云计算投资运营有限公司与浪潮云联合成立的一家工业互联网企业，旨在推动两江新区传统工业企业转型升级，赋能两江新区数字经济发展。</w:t>
      </w:r>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rPr>
        <w:t>经营范围包括一般项目：技术服务、技术开发、技术咨询、技术交流、技术转让、技术推广，计算机软硬件及外围设备制造，计算机软硬件及辅助设备零售，云计算设备制造，云计算设备销售，人工智能公共数据平台，大数据服务</w:t>
      </w:r>
      <w:r>
        <w:rPr>
          <w:rFonts w:hint="eastAsia" w:ascii="仿宋" w:hAnsi="仿宋" w:eastAsia="仿宋" w:cs="宋体"/>
          <w:bCs/>
          <w:kern w:val="0"/>
          <w:sz w:val="30"/>
          <w:szCs w:val="30"/>
          <w:highlight w:val="none"/>
          <w:lang w:eastAsia="zh-CN"/>
        </w:rPr>
        <w:t>。</w:t>
      </w:r>
    </w:p>
    <w:p>
      <w:pPr>
        <w:pStyle w:val="3"/>
        <w:numPr>
          <w:ilvl w:val="0"/>
          <w:numId w:val="2"/>
        </w:numPr>
        <w:rPr>
          <w:rFonts w:hint="eastAsia" w:ascii="仿宋" w:hAnsi="仿宋" w:eastAsia="仿宋"/>
          <w:bCs w:val="0"/>
          <w:sz w:val="30"/>
          <w:szCs w:val="30"/>
          <w:highlight w:val="none"/>
          <w:lang w:eastAsia="zh-CN"/>
        </w:rPr>
      </w:pPr>
      <w:bookmarkStart w:id="34" w:name="_Toc5851"/>
      <w:r>
        <w:rPr>
          <w:rFonts w:hint="eastAsia" w:ascii="仿宋" w:hAnsi="仿宋" w:eastAsia="仿宋"/>
          <w:bCs w:val="0"/>
          <w:sz w:val="30"/>
          <w:szCs w:val="30"/>
          <w:highlight w:val="none"/>
          <w:lang w:eastAsia="zh-CN"/>
        </w:rPr>
        <w:t>中仓登数据服务有限公司</w:t>
      </w:r>
      <w:bookmarkEnd w:id="34"/>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lang w:eastAsia="zh-CN"/>
        </w:rPr>
        <w:t>在当前资产数字化大趋势与青岛发展航运贸易金融创新的背景下，由中国仓储与配送协会、中国中小企业协会、中国物资储运协会与地方政府共同支持此标准的实施并发起设立全国性可流转仓单信息登记服务平台，在整个“全国性可流转仓单体系”的建设中承担规制研究、试点模式推广、体系运转的运营职责。为整个存货（仓单）运营行业输送规范指导、模式创新、技术控货标准等，促进市场形成共识，推动存货仓单化、仓单电子化、存货资产数字化。</w:t>
      </w:r>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lang w:eastAsia="zh-CN"/>
        </w:rPr>
        <w:t>公司设计相关存货资产的物联网标识编码体系和数字化仓储的物联网设备标识编码体系，为行业提供赋码服务、电子仓单登记服务、电子仓单查询服务、电子仓单解析服务、供应链存货流转信息解析服务等。负责建设运营供应链管理服务工业互联网二级解析节点。</w:t>
      </w:r>
    </w:p>
    <w:p>
      <w:pPr>
        <w:pStyle w:val="3"/>
        <w:numPr>
          <w:ilvl w:val="0"/>
          <w:numId w:val="2"/>
        </w:numPr>
        <w:rPr>
          <w:rFonts w:hint="eastAsia" w:ascii="仿宋" w:hAnsi="仿宋" w:eastAsia="仿宋"/>
          <w:bCs w:val="0"/>
          <w:sz w:val="30"/>
          <w:szCs w:val="30"/>
          <w:highlight w:val="none"/>
          <w:lang w:eastAsia="zh-CN"/>
        </w:rPr>
      </w:pPr>
      <w:bookmarkStart w:id="35" w:name="_Toc25845"/>
      <w:r>
        <w:rPr>
          <w:rFonts w:hint="eastAsia" w:ascii="仿宋" w:hAnsi="仿宋" w:eastAsia="仿宋"/>
          <w:bCs w:val="0"/>
          <w:sz w:val="30"/>
          <w:szCs w:val="30"/>
          <w:highlight w:val="none"/>
          <w:lang w:eastAsia="zh-CN"/>
        </w:rPr>
        <w:t>北京艾智互联科技有限公司</w:t>
      </w:r>
      <w:bookmarkEnd w:id="35"/>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lang w:eastAsia="zh-CN"/>
        </w:rPr>
        <w:t>北京艾智互联科技有限公司以中国科学院自动化研究所为技术依托，综合运用物联网，边缘计算，云计算及人工智能等先进技术，从事智能制造、工业互联网等领域的云平台、智能网关、智能化软硬件系统的研发等技术服务，致力于为全球企业用户提供一站式智能化工厂解决方案，助力中国工业智能化发展。公司目前主要聚焦云边协同的机器人控制方案和高端装备故障诊断与预测等领域的系统研发与产业化。</w:t>
      </w:r>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lang w:eastAsia="zh-CN"/>
        </w:rPr>
        <w:t>公司已经在高端装备故障诊断、边缘AI、调度优化、云边协同等领域有相关成果积累，公司致力于推动工厂智能化发展，所以关注点在工厂智能化领域。其基于云边协同的高端装备故障诊断系统和基于云边协同的机器人分拣系统，系统主要依托云计算、边缘智能、机器人、故障诊断等技术，以Altas500 pro等智能硬件为边缘服务器，构建云边协同的机器人控制及故障诊断系统，系统方案已经在广东汇兴精工智造股份有限公司、广东车海洋环保科技有限公司、东莞华贝电子科技有限公司等应用，其应用系统降本增效的效果已经获得客户认可。</w:t>
      </w:r>
    </w:p>
    <w:p>
      <w:pPr>
        <w:pStyle w:val="3"/>
        <w:numPr>
          <w:ilvl w:val="0"/>
          <w:numId w:val="2"/>
        </w:numPr>
        <w:rPr>
          <w:rFonts w:hint="eastAsia" w:ascii="仿宋" w:hAnsi="仿宋" w:eastAsia="仿宋"/>
          <w:bCs w:val="0"/>
          <w:sz w:val="30"/>
          <w:szCs w:val="30"/>
          <w:highlight w:val="none"/>
          <w:lang w:eastAsia="zh-CN"/>
        </w:rPr>
      </w:pPr>
      <w:bookmarkStart w:id="36" w:name="_Toc12916"/>
      <w:r>
        <w:rPr>
          <w:rFonts w:hint="eastAsia" w:ascii="仿宋" w:hAnsi="仿宋" w:eastAsia="仿宋"/>
          <w:bCs w:val="0"/>
          <w:sz w:val="30"/>
          <w:szCs w:val="30"/>
          <w:highlight w:val="none"/>
          <w:lang w:eastAsia="zh-CN"/>
        </w:rPr>
        <w:t>山西省数字证书认证中心（有限公司）</w:t>
      </w:r>
      <w:bookmarkEnd w:id="36"/>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lang w:eastAsia="zh-CN"/>
        </w:rPr>
        <w:t>山西省数字证书认证中心（有限公司），简称“山西CA”，成立于2001年，注册资本3000万元，坐落于山西综改示范区，是由工信部和国家密码管理局授权、监管的全国首批电子认证服务机构，是吉大正元旗下的第三方运营CA品牌。二十年以来，山西CA始终致力于山西省的商密应用推广与宣传，为我省政府、公安、财政、住建、国土、能源、人社、医保、公积金、公共资源等行业提供以密码技术为核心的安全解决方案和优质服务。</w:t>
      </w:r>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lang w:eastAsia="zh-CN"/>
        </w:rPr>
        <w:t>公司是权威的、合法可信的第三方数字证书电子认证服务机构。与密码行业发展共生共长，成立至今已二十余载，行业资深，为可信身份认证市场做出了很大贡献。业务范围涉众多行业，在山西省内各地市及全国主要城市均设有线下服务网点，并设有专业的全国400呼叫中心。拥有强大的自主研发团队，具备新产品创新与开发的强大实力；背靠吉大正元，拥有行业内领先技术。</w:t>
      </w:r>
    </w:p>
    <w:p>
      <w:pPr>
        <w:pStyle w:val="3"/>
        <w:numPr>
          <w:ilvl w:val="0"/>
          <w:numId w:val="2"/>
        </w:numPr>
        <w:rPr>
          <w:rFonts w:hint="eastAsia" w:ascii="仿宋" w:hAnsi="仿宋" w:eastAsia="仿宋"/>
          <w:bCs w:val="0"/>
          <w:sz w:val="30"/>
          <w:szCs w:val="30"/>
          <w:highlight w:val="none"/>
        </w:rPr>
      </w:pPr>
      <w:bookmarkStart w:id="37" w:name="_Toc4420"/>
      <w:r>
        <w:rPr>
          <w:rFonts w:hint="eastAsia" w:ascii="仿宋" w:hAnsi="仿宋" w:eastAsia="仿宋"/>
          <w:bCs w:val="0"/>
          <w:sz w:val="30"/>
          <w:szCs w:val="30"/>
          <w:highlight w:val="none"/>
        </w:rPr>
        <w:t>广州优壹互联科技有限公司</w:t>
      </w:r>
      <w:bookmarkEnd w:id="37"/>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广州优壹互联科技有限公司专注于信息通信行业与ICT、智慧城市领域的资讯服务，作为独立的行业媒体平台，宣传国家政策、引导行业发展、助力企业经营、提升业者技能，作为行业发声者，我们推动产业对话，推广优质产品及服务，服务行业各界，促进行业、社会健康快速发展。</w:t>
      </w:r>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rPr>
        <w:t>开办工业互联网自媒体，运营“工业互联说”公众号的近两年内，已发布1000+篇文章。内容从政策、行业趋势、落地案例等多个角度进行深度解读，作为资讯的先锋军，我们已让更多的人了解工业互联网，共同推动工业互联网向前发展</w:t>
      </w:r>
    </w:p>
    <w:p>
      <w:pPr>
        <w:pStyle w:val="3"/>
        <w:numPr>
          <w:ilvl w:val="0"/>
          <w:numId w:val="2"/>
        </w:numPr>
        <w:rPr>
          <w:rFonts w:ascii="仿宋" w:hAnsi="仿宋" w:eastAsia="仿宋"/>
          <w:bCs w:val="0"/>
          <w:sz w:val="30"/>
          <w:szCs w:val="30"/>
          <w:highlight w:val="none"/>
        </w:rPr>
      </w:pPr>
      <w:bookmarkStart w:id="38" w:name="_Toc4830"/>
      <w:r>
        <w:rPr>
          <w:rFonts w:hint="eastAsia" w:ascii="仿宋" w:hAnsi="仿宋" w:eastAsia="仿宋"/>
          <w:bCs w:val="0"/>
          <w:sz w:val="30"/>
          <w:szCs w:val="30"/>
          <w:highlight w:val="none"/>
        </w:rPr>
        <w:t>武汉亿思源光电股份有限公司</w:t>
      </w:r>
      <w:bookmarkEnd w:id="38"/>
    </w:p>
    <w:p>
      <w:pPr>
        <w:ind w:firstLine="600" w:firstLineChars="200"/>
        <w:rPr>
          <w:rFonts w:hint="eastAsia" w:ascii="仿宋" w:hAnsi="仿宋" w:eastAsia="仿宋" w:cs="宋体"/>
          <w:bCs/>
          <w:kern w:val="0"/>
          <w:sz w:val="30"/>
          <w:szCs w:val="30"/>
          <w:highlight w:val="none"/>
          <w:lang w:val="en-US" w:eastAsia="zh-CN"/>
        </w:rPr>
      </w:pPr>
      <w:r>
        <w:rPr>
          <w:rFonts w:hint="eastAsia" w:ascii="仿宋" w:hAnsi="仿宋" w:eastAsia="仿宋" w:cs="宋体"/>
          <w:bCs/>
          <w:kern w:val="0"/>
          <w:sz w:val="30"/>
          <w:szCs w:val="30"/>
          <w:highlight w:val="none"/>
        </w:rPr>
        <w:t>武汉亿思源光电股份有限公司2008年成立。是一家集研发、生产、销售于一体的专业光电技术传输解决方案提供商。掌控着光电器件、光组件、模块的设计、生产制造、研发等核心技术及经验。作为武汉光谷模块生产与销售企业，一直专注于光电技术的研发与生产。2014年为更加突出公司专业性的生产和研发，经董事会研究决定，由“武汉亿思源光电技术有限公司”改制成立为“武汉亿思源光电股份有限公司”，成立之初就建立了光通信器件</w:t>
      </w:r>
      <w:r>
        <w:rPr>
          <w:rFonts w:hint="eastAsia" w:ascii="仿宋" w:hAnsi="仿宋" w:eastAsia="仿宋" w:cs="宋体"/>
          <w:bCs/>
          <w:kern w:val="0"/>
          <w:sz w:val="30"/>
          <w:szCs w:val="30"/>
          <w:highlight w:val="none"/>
          <w:lang w:eastAsia="zh-CN"/>
        </w:rPr>
        <w:t>。</w:t>
      </w:r>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rPr>
        <w:t>我们引进国际领先的管理理念和尖端的技术，拥有行业领先水平的技术团队。公司立志于建立国际一流的光电产品生产基地，光模块年产能超过300万只。公司研究开发的光通讯系列产品主要包括SFP/SFP+/SFP28/QSFP/QSFP28高端光收发模块以及有源光缆，GPON/EPON、ONU/OLT 突发模式光收发模块，CWDM/DWDM 传输产品等全系列产品，传输速率100Mbps~100Gbps，为电信通信、数据通信、视频监控系统、有线电视传输设备厂商提供各种速率、各种距离和不同波长的商用级、工业级等光收发一体模块。公司秉承“创新产品，服务社会”的核心理念，积极向上下游产业拓展。我们始终坚持以科技创新</w:t>
      </w:r>
      <w:r>
        <w:rPr>
          <w:rFonts w:hint="eastAsia" w:ascii="仿宋" w:hAnsi="仿宋" w:eastAsia="仿宋" w:cs="宋体"/>
          <w:bCs/>
          <w:kern w:val="0"/>
          <w:sz w:val="30"/>
          <w:szCs w:val="30"/>
          <w:highlight w:val="none"/>
          <w:lang w:eastAsia="zh-CN"/>
        </w:rPr>
        <w:t>。</w:t>
      </w:r>
    </w:p>
    <w:p>
      <w:pPr>
        <w:pStyle w:val="3"/>
        <w:numPr>
          <w:ilvl w:val="0"/>
          <w:numId w:val="2"/>
        </w:numPr>
        <w:rPr>
          <w:rFonts w:hint="eastAsia" w:ascii="仿宋" w:hAnsi="仿宋" w:eastAsia="仿宋"/>
          <w:bCs w:val="0"/>
          <w:sz w:val="30"/>
          <w:szCs w:val="30"/>
          <w:highlight w:val="none"/>
        </w:rPr>
      </w:pPr>
      <w:bookmarkStart w:id="39" w:name="_Toc6175"/>
      <w:r>
        <w:rPr>
          <w:rFonts w:hint="eastAsia" w:ascii="仿宋" w:hAnsi="仿宋" w:eastAsia="仿宋"/>
          <w:bCs w:val="0"/>
          <w:sz w:val="30"/>
          <w:szCs w:val="30"/>
          <w:highlight w:val="none"/>
        </w:rPr>
        <w:t>联通雄安产业互联网有限公司</w:t>
      </w:r>
      <w:bookmarkEnd w:id="39"/>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联通雄安产业互联网有限公司成立于2018年4月，由中国联通全资子公司联通数字科技有限公司全权注资、雄安产互属地化管理。公司以“聚焦、创新、合作“战略为引领，高点定位，面向政府企业客户提供云计算、大数据、物联网、IT等创新产品及服务，具备自主研发、解决方案制定、集成交付及运营服务等专业能力。</w:t>
      </w:r>
    </w:p>
    <w:p>
      <w:pPr>
        <w:ind w:firstLine="600" w:firstLineChars="200"/>
        <w:rPr>
          <w:rFonts w:hint="eastAsia" w:ascii="仿宋" w:hAnsi="仿宋" w:eastAsia="仿宋" w:cs="宋体"/>
          <w:bCs/>
          <w:kern w:val="0"/>
          <w:sz w:val="30"/>
          <w:szCs w:val="30"/>
          <w:highlight w:val="none"/>
          <w:lang w:eastAsia="zh-CN"/>
        </w:rPr>
      </w:pPr>
      <w:r>
        <w:rPr>
          <w:rFonts w:hint="eastAsia" w:ascii="仿宋" w:hAnsi="仿宋" w:eastAsia="仿宋" w:cs="宋体"/>
          <w:bCs/>
          <w:kern w:val="0"/>
          <w:sz w:val="30"/>
          <w:szCs w:val="30"/>
          <w:highlight w:val="none"/>
        </w:rPr>
        <w:t>2018年10月，河北联通建成全国首批工业互联网标识解析综合二级节点，联通雄安产业互联网有限公司负责节点运营及维护工作；基于标识二级节点基础资源，自主研发PAAS能力开放平台，面向龙头企业提供接口管理、应用管理、安全管理等中间件能力；自研六款应用产品，产品追溯、防伪防窜、售后服务、供应链管理、数字化营销、生产过程管理；为企业核心业务环节提供全生命周期信息追溯</w:t>
      </w:r>
      <w:r>
        <w:rPr>
          <w:rFonts w:hint="eastAsia" w:ascii="仿宋" w:hAnsi="仿宋" w:eastAsia="仿宋" w:cs="宋体"/>
          <w:bCs/>
          <w:kern w:val="0"/>
          <w:sz w:val="30"/>
          <w:szCs w:val="30"/>
          <w:highlight w:val="none"/>
          <w:lang w:eastAsia="zh-CN"/>
        </w:rPr>
        <w:t>。</w:t>
      </w:r>
    </w:p>
    <w:p>
      <w:pPr>
        <w:pStyle w:val="3"/>
        <w:numPr>
          <w:ilvl w:val="0"/>
          <w:numId w:val="2"/>
        </w:numPr>
        <w:rPr>
          <w:rFonts w:ascii="仿宋" w:hAnsi="仿宋" w:eastAsia="仿宋"/>
          <w:bCs w:val="0"/>
          <w:sz w:val="30"/>
          <w:szCs w:val="30"/>
          <w:highlight w:val="none"/>
        </w:rPr>
      </w:pPr>
      <w:bookmarkStart w:id="40" w:name="_Toc32161"/>
      <w:r>
        <w:rPr>
          <w:rFonts w:hint="eastAsia" w:ascii="仿宋" w:hAnsi="仿宋" w:eastAsia="仿宋"/>
          <w:bCs w:val="0"/>
          <w:sz w:val="30"/>
          <w:szCs w:val="30"/>
          <w:highlight w:val="none"/>
        </w:rPr>
        <w:t>高质标准化研究院（山东）有限公司</w:t>
      </w:r>
      <w:bookmarkEnd w:id="40"/>
    </w:p>
    <w:p>
      <w:pPr>
        <w:ind w:firstLine="600" w:firstLineChars="200"/>
        <w:rPr>
          <w:rFonts w:ascii="仿宋" w:hAnsi="仿宋" w:eastAsia="仿宋" w:cs="宋体"/>
          <w:bCs/>
          <w:kern w:val="0"/>
          <w:sz w:val="30"/>
          <w:szCs w:val="30"/>
          <w:highlight w:val="none"/>
        </w:rPr>
      </w:pPr>
      <w:r>
        <w:rPr>
          <w:rFonts w:hint="eastAsia" w:ascii="仿宋" w:hAnsi="仿宋" w:eastAsia="仿宋" w:cs="宋体"/>
          <w:bCs/>
          <w:kern w:val="0"/>
          <w:sz w:val="30"/>
          <w:szCs w:val="30"/>
          <w:highlight w:val="none"/>
        </w:rPr>
        <w:t>高质标准化研究院以“用标准链接质量服务上下游赋能中国企业高质量发展”为使命，以成为世界一流、国内顶尖的标准化大数据运营企业及国家质量基础设施场景生态服务商为愿景，实施双轮驱动战略和1+Q+N发展规划。1是质量基础设施数据，储备了全国数量最多、最完整的标准大数据；Q是国家质量基础服务、生态产品价值服务、绿色低碳服务、智力资源服务为重点方向；N是用双轮驱动模式更快、更好、更强去创建、捕捉、链接场景。</w:t>
      </w:r>
    </w:p>
    <w:p>
      <w:pPr>
        <w:ind w:firstLine="600" w:firstLineChars="200"/>
        <w:rPr>
          <w:rFonts w:hint="eastAsia" w:ascii="仿宋" w:hAnsi="仿宋" w:eastAsia="仿宋" w:cs="宋体"/>
          <w:bCs/>
          <w:kern w:val="0"/>
          <w:sz w:val="30"/>
          <w:szCs w:val="30"/>
          <w:highlight w:val="none"/>
        </w:rPr>
      </w:pPr>
      <w:r>
        <w:rPr>
          <w:rFonts w:hint="eastAsia" w:ascii="仿宋" w:hAnsi="仿宋" w:eastAsia="仿宋" w:cs="宋体"/>
          <w:bCs/>
          <w:kern w:val="0"/>
          <w:sz w:val="30"/>
          <w:szCs w:val="30"/>
          <w:highlight w:val="none"/>
        </w:rPr>
        <w:t>研究院是中国标准化研究院高质量与绿色发展创新运营主体，是连接3个国际标委会秘书处、12个国际机构与标准化组织关键职务、11个对口国际标委会、8个对口国际机构的山东窗口，国家氢能技术标准创新基地、国家绿色技术与标准创新基地、国家能效水效工程中心智能实验室的共建单位。高质标准化研究院是国内首家集产业、质量、标准大数据与标准智能解析为一体，在先进技术的精准性分析、生产过程的规范性控制、终端产品的关键性参数、综合性能的先进性判断、质量品牌建设、绿色低碳运营和国家质量基础设施（NQI）平台建设等方面拥有雄厚实力的混合所有制新型研发机构。</w:t>
      </w:r>
    </w:p>
    <w:p>
      <w:pPr>
        <w:rPr>
          <w:rFonts w:ascii="宋体"/>
          <w:b/>
          <w:sz w:val="36"/>
          <w:szCs w:val="36"/>
        </w:rPr>
      </w:pPr>
      <w:r>
        <w:rPr>
          <w:rFonts w:ascii="宋体"/>
          <w:b/>
          <w:sz w:val="36"/>
          <w:szCs w:val="36"/>
        </w:rPr>
        <w:br w:type="page"/>
      </w:r>
    </w:p>
    <w:p>
      <w:pPr>
        <w:rPr>
          <w:rFonts w:ascii="宋体"/>
          <w:b/>
          <w:color w:val="000000"/>
          <w:sz w:val="28"/>
        </w:rPr>
      </w:pPr>
      <w:r>
        <w:rPr>
          <w:rFonts w:ascii="宋体"/>
          <w:b/>
          <w:sz w:val="36"/>
          <w:szCs w:val="36"/>
        </w:rPr>
        <w:drawing>
          <wp:inline distT="0" distB="0" distL="0" distR="0">
            <wp:extent cx="5219700" cy="1447800"/>
            <wp:effectExtent l="0" t="0" r="0" b="0"/>
            <wp:docPr id="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19700" cy="1447800"/>
                    </a:xfrm>
                    <a:prstGeom prst="rect">
                      <a:avLst/>
                    </a:prstGeom>
                    <a:noFill/>
                    <a:ln>
                      <a:noFill/>
                    </a:ln>
                  </pic:spPr>
                </pic:pic>
              </a:graphicData>
            </a:graphic>
          </wp:inline>
        </w:drawing>
      </w:r>
    </w:p>
    <w:p>
      <w:pPr>
        <w:rPr>
          <w:rFonts w:ascii="宋体"/>
          <w:b/>
          <w:color w:val="000000"/>
          <w:sz w:val="28"/>
        </w:rPr>
      </w:pPr>
    </w:p>
    <w:p>
      <w:pPr>
        <w:rPr>
          <w:rFonts w:ascii="宋体"/>
          <w:b/>
          <w:color w:val="000000"/>
          <w:sz w:val="28"/>
        </w:rPr>
      </w:pPr>
    </w:p>
    <w:p>
      <w:pPr>
        <w:rPr>
          <w:rFonts w:ascii="宋体"/>
          <w:b/>
          <w:color w:val="000000"/>
          <w:sz w:val="28"/>
        </w:rPr>
      </w:pPr>
    </w:p>
    <w:p>
      <w:pPr>
        <w:rPr>
          <w:rFonts w:ascii="宋体"/>
          <w:b/>
          <w:color w:val="000000"/>
          <w:sz w:val="28"/>
        </w:rPr>
      </w:pPr>
    </w:p>
    <w:p>
      <w:pPr>
        <w:rPr>
          <w:rFonts w:ascii="黑体" w:hAnsi="黑体" w:eastAsia="黑体"/>
          <w:color w:val="000000"/>
          <w:sz w:val="28"/>
          <w:szCs w:val="28"/>
        </w:rPr>
      </w:pPr>
      <w:r>
        <w:rPr>
          <w:rFonts w:hint="eastAsia" w:ascii="黑体" w:hAnsi="黑体" w:eastAsia="黑体"/>
          <w:color w:val="000000"/>
          <w:sz w:val="28"/>
          <w:szCs w:val="28"/>
        </w:rPr>
        <w:t>工业互联网产业联盟秘书处</w:t>
      </w:r>
    </w:p>
    <w:p>
      <w:pPr>
        <w:rPr>
          <w:rFonts w:ascii="黑体" w:hAnsi="黑体" w:eastAsia="黑体"/>
          <w:color w:val="000000"/>
          <w:sz w:val="28"/>
          <w:szCs w:val="28"/>
        </w:rPr>
      </w:pPr>
      <w:r>
        <w:rPr>
          <w:rFonts w:hint="eastAsia" w:ascii="黑体" w:hAnsi="黑体" w:eastAsia="黑体"/>
          <w:color w:val="000000"/>
          <w:sz w:val="28"/>
          <w:szCs w:val="28"/>
        </w:rPr>
        <w:t>联系电话：</w:t>
      </w:r>
      <w:r>
        <w:rPr>
          <w:rFonts w:ascii="黑体" w:hAnsi="黑体" w:eastAsia="黑体"/>
          <w:color w:val="000000"/>
          <w:sz w:val="28"/>
          <w:szCs w:val="28"/>
        </w:rPr>
        <w:t>010-62305887</w:t>
      </w:r>
    </w:p>
    <w:p>
      <w:pPr>
        <w:rPr>
          <w:rFonts w:ascii="黑体" w:hAnsi="黑体" w:eastAsia="黑体"/>
          <w:color w:val="000000"/>
          <w:sz w:val="28"/>
          <w:szCs w:val="28"/>
        </w:rPr>
      </w:pPr>
      <w:r>
        <w:rPr>
          <w:rFonts w:hint="eastAsia" w:ascii="黑体" w:hAnsi="黑体" w:eastAsia="黑体"/>
          <w:color w:val="000000"/>
          <w:sz w:val="28"/>
          <w:szCs w:val="28"/>
        </w:rPr>
        <w:t>地址：北京市海淀区花园北路</w:t>
      </w:r>
      <w:r>
        <w:rPr>
          <w:rFonts w:ascii="黑体" w:hAnsi="黑体" w:eastAsia="黑体"/>
          <w:color w:val="000000"/>
          <w:sz w:val="28"/>
          <w:szCs w:val="28"/>
        </w:rPr>
        <w:t>52</w:t>
      </w:r>
      <w:r>
        <w:rPr>
          <w:rFonts w:hint="eastAsia" w:ascii="黑体" w:hAnsi="黑体" w:eastAsia="黑体"/>
          <w:color w:val="000000"/>
          <w:sz w:val="28"/>
          <w:szCs w:val="28"/>
        </w:rPr>
        <w:t>号（</w:t>
      </w:r>
      <w:r>
        <w:rPr>
          <w:rFonts w:ascii="黑体" w:hAnsi="黑体" w:eastAsia="黑体"/>
          <w:color w:val="000000"/>
          <w:sz w:val="28"/>
          <w:szCs w:val="28"/>
        </w:rPr>
        <w:t>100191</w:t>
      </w:r>
      <w:r>
        <w:rPr>
          <w:rFonts w:hint="eastAsia" w:ascii="黑体" w:hAnsi="黑体" w:eastAsia="黑体"/>
          <w:color w:val="000000"/>
          <w:sz w:val="28"/>
          <w:szCs w:val="28"/>
        </w:rPr>
        <w:t>）</w:t>
      </w:r>
    </w:p>
    <w:p>
      <w:pPr>
        <w:rPr>
          <w:rFonts w:ascii="黑体" w:hAnsi="黑体" w:eastAsia="黑体"/>
          <w:color w:val="000000"/>
          <w:sz w:val="28"/>
          <w:szCs w:val="28"/>
        </w:rPr>
      </w:pPr>
      <w:r>
        <w:rPr>
          <w:rFonts w:hint="eastAsia" w:ascii="黑体" w:hAnsi="黑体" w:eastAsia="黑体"/>
          <w:color w:val="000000"/>
          <w:sz w:val="28"/>
          <w:szCs w:val="28"/>
        </w:rPr>
        <w:t>联盟邮箱：</w:t>
      </w:r>
      <w:r>
        <w:rPr>
          <w:rFonts w:ascii="黑体" w:hAnsi="黑体" w:eastAsia="黑体"/>
          <w:color w:val="000000"/>
          <w:sz w:val="28"/>
          <w:szCs w:val="28"/>
        </w:rPr>
        <w:t xml:space="preserve">aii@caict.ac.cn </w:t>
      </w:r>
    </w:p>
    <w:p>
      <w:pPr>
        <w:rPr>
          <w:rFonts w:ascii="黑体" w:hAnsi="黑体" w:eastAsia="黑体"/>
          <w:color w:val="000000"/>
          <w:sz w:val="28"/>
          <w:szCs w:val="28"/>
        </w:rPr>
      </w:pPr>
      <w:r>
        <w:rPr>
          <w:rFonts w:hint="eastAsia" w:ascii="黑体" w:hAnsi="黑体" w:eastAsia="黑体"/>
          <w:color w:val="000000"/>
          <w:sz w:val="28"/>
          <w:szCs w:val="28"/>
        </w:rPr>
        <w:t>联盟网址：</w:t>
      </w:r>
      <w:r>
        <w:fldChar w:fldCharType="begin"/>
      </w:r>
      <w:r>
        <w:instrText xml:space="preserve"> HYPERLINK "http://www.aii-alliance.org/" \t "_blank" </w:instrText>
      </w:r>
      <w:r>
        <w:fldChar w:fldCharType="separate"/>
      </w:r>
      <w:r>
        <w:rPr>
          <w:rFonts w:ascii="黑体" w:hAnsi="黑体" w:eastAsia="黑体"/>
          <w:color w:val="000000"/>
          <w:sz w:val="28"/>
          <w:szCs w:val="28"/>
        </w:rPr>
        <w:t>www.aii-alliance.org</w:t>
      </w:r>
      <w:r>
        <w:rPr>
          <w:rFonts w:ascii="黑体" w:hAnsi="黑体" w:eastAsia="黑体"/>
          <w:color w:val="000000"/>
          <w:sz w:val="28"/>
          <w:szCs w:val="28"/>
        </w:rPr>
        <w:fldChar w:fldCharType="end"/>
      </w:r>
    </w:p>
    <w:sectPr>
      <w:headerReference r:id="rId9" w:type="first"/>
      <w:footerReference r:id="rId10" w:type="first"/>
      <w:pgSz w:w="11906" w:h="16838"/>
      <w:pgMar w:top="1985" w:right="1700" w:bottom="1440" w:left="1843"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inline distT="0" distB="0" distL="0" distR="0">
          <wp:extent cx="185928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59280" cy="495300"/>
                  </a:xfrm>
                  <a:prstGeom prst="rect">
                    <a:avLst/>
                  </a:prstGeom>
                  <a:noFill/>
                  <a:ln>
                    <a:noFill/>
                  </a:ln>
                </pic:spPr>
              </pic:pic>
            </a:graphicData>
          </a:graphic>
        </wp:inline>
      </w:drawing>
    </w:r>
    <w:r>
      <w:t xml:space="preserve">                                                         </w:t>
    </w:r>
    <w:r>
      <w:rPr>
        <w:lang w:val="zh-CN"/>
      </w:rPr>
      <w:fldChar w:fldCharType="begin"/>
    </w:r>
    <w:r>
      <w:rPr>
        <w:lang w:val="zh-CN"/>
      </w:rPr>
      <w:instrText xml:space="preserve">PAGE   \* MERGEFORMAT</w:instrText>
    </w:r>
    <w:r>
      <w:rPr>
        <w:lang w:val="zh-CN"/>
      </w:rPr>
      <w:fldChar w:fldCharType="separate"/>
    </w:r>
    <w:r>
      <w:rPr>
        <w:lang w:val="zh-CN"/>
      </w:rPr>
      <w:t>12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inline distT="0" distB="0" distL="0" distR="0">
          <wp:extent cx="1859280" cy="495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59280" cy="495300"/>
                  </a:xfrm>
                  <a:prstGeom prst="rect">
                    <a:avLst/>
                  </a:prstGeom>
                  <a:noFill/>
                  <a:ln>
                    <a:noFill/>
                  </a:ln>
                </pic:spPr>
              </pic:pic>
            </a:graphicData>
          </a:graphic>
        </wp:inline>
      </w:drawing>
    </w:r>
    <w:r>
      <w:t xml:space="preserve">                                                          </w:t>
    </w:r>
    <w:r>
      <w:rPr>
        <w:b/>
      </w:rPr>
      <w:fldChar w:fldCharType="begin"/>
    </w:r>
    <w:r>
      <w:rPr>
        <w:b/>
      </w:rPr>
      <w:instrText xml:space="preserve">PAGE</w:instrText>
    </w:r>
    <w:r>
      <w:rPr>
        <w:b/>
      </w:rPr>
      <w:fldChar w:fldCharType="separate"/>
    </w:r>
    <w:r>
      <w:rPr>
        <w:b/>
      </w:rPr>
      <w:t>I</w:t>
    </w:r>
    <w:r>
      <w:rPr>
        <w:b/>
      </w:rPr>
      <w:fldChar w:fldCharType="end"/>
    </w:r>
    <w:r>
      <w:rPr>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drawing>
        <wp:inline distT="0" distB="0" distL="0" distR="0">
          <wp:extent cx="1859280" cy="495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59280" cy="495300"/>
                  </a:xfrm>
                  <a:prstGeom prst="rect">
                    <a:avLst/>
                  </a:prstGeom>
                  <a:noFill/>
                  <a:ln>
                    <a:noFill/>
                  </a:ln>
                </pic:spPr>
              </pic:pic>
            </a:graphicData>
          </a:graphic>
        </wp:inline>
      </w:drawing>
    </w:r>
    <w:r>
      <w:t xml:space="preserve">                                                          </w:t>
    </w: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lear" w:pos="8306"/>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862ED"/>
    <w:multiLevelType w:val="multilevel"/>
    <w:tmpl w:val="5F6862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9D02AB"/>
    <w:multiLevelType w:val="multilevel"/>
    <w:tmpl w:val="779D02AB"/>
    <w:lvl w:ilvl="0" w:tentative="0">
      <w:start w:val="1"/>
      <w:numFmt w:val="japaneseCounting"/>
      <w:lvlText w:val="（%1）"/>
      <w:lvlJc w:val="left"/>
      <w:pPr>
        <w:ind w:left="930" w:hanging="9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39"/>
    <w:rsid w:val="00000491"/>
    <w:rsid w:val="0000230D"/>
    <w:rsid w:val="0000306D"/>
    <w:rsid w:val="0000326D"/>
    <w:rsid w:val="00003E97"/>
    <w:rsid w:val="00004F03"/>
    <w:rsid w:val="000055A5"/>
    <w:rsid w:val="00005D7C"/>
    <w:rsid w:val="00006161"/>
    <w:rsid w:val="00006413"/>
    <w:rsid w:val="00006AB4"/>
    <w:rsid w:val="000073D0"/>
    <w:rsid w:val="000074DC"/>
    <w:rsid w:val="00010392"/>
    <w:rsid w:val="0001266A"/>
    <w:rsid w:val="0001470C"/>
    <w:rsid w:val="00014A32"/>
    <w:rsid w:val="00014D13"/>
    <w:rsid w:val="0001656F"/>
    <w:rsid w:val="00020C14"/>
    <w:rsid w:val="000211FA"/>
    <w:rsid w:val="00021502"/>
    <w:rsid w:val="00021CC1"/>
    <w:rsid w:val="000222B5"/>
    <w:rsid w:val="00023065"/>
    <w:rsid w:val="00023AB4"/>
    <w:rsid w:val="000247B0"/>
    <w:rsid w:val="000257C5"/>
    <w:rsid w:val="00025CC9"/>
    <w:rsid w:val="00025E13"/>
    <w:rsid w:val="00026C83"/>
    <w:rsid w:val="000273CE"/>
    <w:rsid w:val="00027ECC"/>
    <w:rsid w:val="0003649D"/>
    <w:rsid w:val="00036898"/>
    <w:rsid w:val="000416F6"/>
    <w:rsid w:val="00041E5F"/>
    <w:rsid w:val="0004477A"/>
    <w:rsid w:val="00045AC7"/>
    <w:rsid w:val="00045B41"/>
    <w:rsid w:val="00047EE5"/>
    <w:rsid w:val="00051A38"/>
    <w:rsid w:val="000549AE"/>
    <w:rsid w:val="00054B42"/>
    <w:rsid w:val="00054C3C"/>
    <w:rsid w:val="00054F18"/>
    <w:rsid w:val="00056428"/>
    <w:rsid w:val="0006048E"/>
    <w:rsid w:val="00060FA1"/>
    <w:rsid w:val="000612D8"/>
    <w:rsid w:val="000616C5"/>
    <w:rsid w:val="00063264"/>
    <w:rsid w:val="000648C9"/>
    <w:rsid w:val="000652EB"/>
    <w:rsid w:val="0006583C"/>
    <w:rsid w:val="00065F01"/>
    <w:rsid w:val="00067048"/>
    <w:rsid w:val="000676B4"/>
    <w:rsid w:val="00067D10"/>
    <w:rsid w:val="00071E0C"/>
    <w:rsid w:val="00074FB6"/>
    <w:rsid w:val="0007550C"/>
    <w:rsid w:val="00075E17"/>
    <w:rsid w:val="00077BD1"/>
    <w:rsid w:val="00080D87"/>
    <w:rsid w:val="00081C6A"/>
    <w:rsid w:val="00093367"/>
    <w:rsid w:val="00093596"/>
    <w:rsid w:val="00093A44"/>
    <w:rsid w:val="00094C9D"/>
    <w:rsid w:val="00094ED8"/>
    <w:rsid w:val="00096062"/>
    <w:rsid w:val="000A0596"/>
    <w:rsid w:val="000A0F32"/>
    <w:rsid w:val="000A333F"/>
    <w:rsid w:val="000A33F2"/>
    <w:rsid w:val="000A3731"/>
    <w:rsid w:val="000B03FC"/>
    <w:rsid w:val="000B3692"/>
    <w:rsid w:val="000B3749"/>
    <w:rsid w:val="000B69D9"/>
    <w:rsid w:val="000B7341"/>
    <w:rsid w:val="000B7B07"/>
    <w:rsid w:val="000C0CFD"/>
    <w:rsid w:val="000C4B2D"/>
    <w:rsid w:val="000C4BD2"/>
    <w:rsid w:val="000C5E5D"/>
    <w:rsid w:val="000C60EE"/>
    <w:rsid w:val="000C6411"/>
    <w:rsid w:val="000C6837"/>
    <w:rsid w:val="000D1BE6"/>
    <w:rsid w:val="000D1CD8"/>
    <w:rsid w:val="000D244F"/>
    <w:rsid w:val="000D2BC9"/>
    <w:rsid w:val="000D34E0"/>
    <w:rsid w:val="000D3ECA"/>
    <w:rsid w:val="000D41CB"/>
    <w:rsid w:val="000D6B57"/>
    <w:rsid w:val="000D7797"/>
    <w:rsid w:val="000E2ADD"/>
    <w:rsid w:val="000E3BF7"/>
    <w:rsid w:val="000E3C0B"/>
    <w:rsid w:val="000E487B"/>
    <w:rsid w:val="000E4DB9"/>
    <w:rsid w:val="000F358B"/>
    <w:rsid w:val="000F3ADA"/>
    <w:rsid w:val="000F449D"/>
    <w:rsid w:val="000F4599"/>
    <w:rsid w:val="000F4BC9"/>
    <w:rsid w:val="000F6414"/>
    <w:rsid w:val="000F7B9D"/>
    <w:rsid w:val="00100E98"/>
    <w:rsid w:val="00100FFC"/>
    <w:rsid w:val="00106684"/>
    <w:rsid w:val="00106A87"/>
    <w:rsid w:val="0011389B"/>
    <w:rsid w:val="001138DF"/>
    <w:rsid w:val="0011419C"/>
    <w:rsid w:val="001155A8"/>
    <w:rsid w:val="00116D3B"/>
    <w:rsid w:val="00122584"/>
    <w:rsid w:val="001236F3"/>
    <w:rsid w:val="0012396B"/>
    <w:rsid w:val="00124AF2"/>
    <w:rsid w:val="00125F5F"/>
    <w:rsid w:val="0012656F"/>
    <w:rsid w:val="00126CA7"/>
    <w:rsid w:val="00131736"/>
    <w:rsid w:val="001350C9"/>
    <w:rsid w:val="00136F8C"/>
    <w:rsid w:val="00140CA6"/>
    <w:rsid w:val="0014154C"/>
    <w:rsid w:val="00141EB4"/>
    <w:rsid w:val="00143383"/>
    <w:rsid w:val="0014357D"/>
    <w:rsid w:val="00144CFE"/>
    <w:rsid w:val="00145641"/>
    <w:rsid w:val="00152395"/>
    <w:rsid w:val="0015263E"/>
    <w:rsid w:val="00152D0F"/>
    <w:rsid w:val="0015362F"/>
    <w:rsid w:val="00154B1E"/>
    <w:rsid w:val="00155CB1"/>
    <w:rsid w:val="001568DA"/>
    <w:rsid w:val="00157417"/>
    <w:rsid w:val="001575D2"/>
    <w:rsid w:val="001602DB"/>
    <w:rsid w:val="00160622"/>
    <w:rsid w:val="001610BE"/>
    <w:rsid w:val="00161406"/>
    <w:rsid w:val="00163331"/>
    <w:rsid w:val="00164AF4"/>
    <w:rsid w:val="00165380"/>
    <w:rsid w:val="00166CB9"/>
    <w:rsid w:val="0016726A"/>
    <w:rsid w:val="0017191C"/>
    <w:rsid w:val="001731F9"/>
    <w:rsid w:val="00174A6E"/>
    <w:rsid w:val="00181919"/>
    <w:rsid w:val="00182320"/>
    <w:rsid w:val="00182982"/>
    <w:rsid w:val="00182C79"/>
    <w:rsid w:val="00184AE8"/>
    <w:rsid w:val="00185DA5"/>
    <w:rsid w:val="0018680D"/>
    <w:rsid w:val="00190BFB"/>
    <w:rsid w:val="00190C43"/>
    <w:rsid w:val="00193340"/>
    <w:rsid w:val="00193E3B"/>
    <w:rsid w:val="00196446"/>
    <w:rsid w:val="001A2C10"/>
    <w:rsid w:val="001A2DE1"/>
    <w:rsid w:val="001A3010"/>
    <w:rsid w:val="001A638B"/>
    <w:rsid w:val="001A6815"/>
    <w:rsid w:val="001B09C3"/>
    <w:rsid w:val="001B12F1"/>
    <w:rsid w:val="001B3406"/>
    <w:rsid w:val="001B342A"/>
    <w:rsid w:val="001B3CF9"/>
    <w:rsid w:val="001B3F10"/>
    <w:rsid w:val="001B5732"/>
    <w:rsid w:val="001B6B21"/>
    <w:rsid w:val="001B7FD9"/>
    <w:rsid w:val="001C016E"/>
    <w:rsid w:val="001C02AD"/>
    <w:rsid w:val="001C1C84"/>
    <w:rsid w:val="001C4787"/>
    <w:rsid w:val="001C6CE7"/>
    <w:rsid w:val="001C6E20"/>
    <w:rsid w:val="001C73D5"/>
    <w:rsid w:val="001D1FC1"/>
    <w:rsid w:val="001D1FC8"/>
    <w:rsid w:val="001D2C9D"/>
    <w:rsid w:val="001D3E5F"/>
    <w:rsid w:val="001D4E17"/>
    <w:rsid w:val="001D4E66"/>
    <w:rsid w:val="001D7EE1"/>
    <w:rsid w:val="001E0561"/>
    <w:rsid w:val="001E359C"/>
    <w:rsid w:val="001E3920"/>
    <w:rsid w:val="001E4444"/>
    <w:rsid w:val="001E7182"/>
    <w:rsid w:val="001F05E3"/>
    <w:rsid w:val="001F0921"/>
    <w:rsid w:val="001F0A4B"/>
    <w:rsid w:val="001F259D"/>
    <w:rsid w:val="001F616C"/>
    <w:rsid w:val="001F7044"/>
    <w:rsid w:val="001F79F1"/>
    <w:rsid w:val="001F7BE2"/>
    <w:rsid w:val="00200C6F"/>
    <w:rsid w:val="00201A6E"/>
    <w:rsid w:val="0020349F"/>
    <w:rsid w:val="00203DFE"/>
    <w:rsid w:val="002060BC"/>
    <w:rsid w:val="002068FE"/>
    <w:rsid w:val="00206D2F"/>
    <w:rsid w:val="002101F3"/>
    <w:rsid w:val="00210E98"/>
    <w:rsid w:val="00211654"/>
    <w:rsid w:val="00215D03"/>
    <w:rsid w:val="00216352"/>
    <w:rsid w:val="0021775C"/>
    <w:rsid w:val="00220145"/>
    <w:rsid w:val="00220E2A"/>
    <w:rsid w:val="00221F06"/>
    <w:rsid w:val="00223D5A"/>
    <w:rsid w:val="002303BD"/>
    <w:rsid w:val="00231050"/>
    <w:rsid w:val="00233214"/>
    <w:rsid w:val="002339CD"/>
    <w:rsid w:val="002353D9"/>
    <w:rsid w:val="002358C1"/>
    <w:rsid w:val="00235D48"/>
    <w:rsid w:val="00236323"/>
    <w:rsid w:val="002372AF"/>
    <w:rsid w:val="0024180F"/>
    <w:rsid w:val="00242DD2"/>
    <w:rsid w:val="002434C9"/>
    <w:rsid w:val="00244E76"/>
    <w:rsid w:val="00245F63"/>
    <w:rsid w:val="0024619A"/>
    <w:rsid w:val="00247AA1"/>
    <w:rsid w:val="002503FD"/>
    <w:rsid w:val="002527E7"/>
    <w:rsid w:val="002543E6"/>
    <w:rsid w:val="002605DB"/>
    <w:rsid w:val="0026304E"/>
    <w:rsid w:val="0026446E"/>
    <w:rsid w:val="002665DF"/>
    <w:rsid w:val="00266FD7"/>
    <w:rsid w:val="00271D66"/>
    <w:rsid w:val="00272FBA"/>
    <w:rsid w:val="00274C40"/>
    <w:rsid w:val="002770C8"/>
    <w:rsid w:val="00283D4B"/>
    <w:rsid w:val="00284BE4"/>
    <w:rsid w:val="00285503"/>
    <w:rsid w:val="0028663B"/>
    <w:rsid w:val="00290ED0"/>
    <w:rsid w:val="0029283A"/>
    <w:rsid w:val="00293D46"/>
    <w:rsid w:val="00295223"/>
    <w:rsid w:val="002953CE"/>
    <w:rsid w:val="00295629"/>
    <w:rsid w:val="002A155C"/>
    <w:rsid w:val="002A19F4"/>
    <w:rsid w:val="002A1AD4"/>
    <w:rsid w:val="002A1F71"/>
    <w:rsid w:val="002A24FB"/>
    <w:rsid w:val="002A3A82"/>
    <w:rsid w:val="002A67C7"/>
    <w:rsid w:val="002B0138"/>
    <w:rsid w:val="002B06C7"/>
    <w:rsid w:val="002B0CD8"/>
    <w:rsid w:val="002B13ED"/>
    <w:rsid w:val="002B1F96"/>
    <w:rsid w:val="002B4552"/>
    <w:rsid w:val="002B4CB2"/>
    <w:rsid w:val="002B6311"/>
    <w:rsid w:val="002B74E9"/>
    <w:rsid w:val="002B7DD2"/>
    <w:rsid w:val="002C01AB"/>
    <w:rsid w:val="002C0816"/>
    <w:rsid w:val="002C0DA8"/>
    <w:rsid w:val="002C1DEC"/>
    <w:rsid w:val="002C3182"/>
    <w:rsid w:val="002C3449"/>
    <w:rsid w:val="002D0E31"/>
    <w:rsid w:val="002D1FD7"/>
    <w:rsid w:val="002D3853"/>
    <w:rsid w:val="002D561B"/>
    <w:rsid w:val="002D5669"/>
    <w:rsid w:val="002D593E"/>
    <w:rsid w:val="002D6B3B"/>
    <w:rsid w:val="002D7510"/>
    <w:rsid w:val="002D7CA2"/>
    <w:rsid w:val="002E017C"/>
    <w:rsid w:val="002E0676"/>
    <w:rsid w:val="002E08B1"/>
    <w:rsid w:val="002E0BA6"/>
    <w:rsid w:val="002E23A3"/>
    <w:rsid w:val="002E2A1B"/>
    <w:rsid w:val="002E3871"/>
    <w:rsid w:val="002E5973"/>
    <w:rsid w:val="002F1B08"/>
    <w:rsid w:val="002F1B75"/>
    <w:rsid w:val="002F1C16"/>
    <w:rsid w:val="002F3257"/>
    <w:rsid w:val="003000E7"/>
    <w:rsid w:val="0030056C"/>
    <w:rsid w:val="00303F77"/>
    <w:rsid w:val="00305B7D"/>
    <w:rsid w:val="00310CF6"/>
    <w:rsid w:val="00317112"/>
    <w:rsid w:val="0032014C"/>
    <w:rsid w:val="0032189F"/>
    <w:rsid w:val="0032286C"/>
    <w:rsid w:val="003233C5"/>
    <w:rsid w:val="00323F5B"/>
    <w:rsid w:val="00324DE3"/>
    <w:rsid w:val="00325766"/>
    <w:rsid w:val="00326437"/>
    <w:rsid w:val="00334164"/>
    <w:rsid w:val="003363F8"/>
    <w:rsid w:val="00340E03"/>
    <w:rsid w:val="0034154F"/>
    <w:rsid w:val="0034392F"/>
    <w:rsid w:val="00344C0C"/>
    <w:rsid w:val="00345A79"/>
    <w:rsid w:val="003465AB"/>
    <w:rsid w:val="003466DC"/>
    <w:rsid w:val="0034676A"/>
    <w:rsid w:val="00347124"/>
    <w:rsid w:val="0035011E"/>
    <w:rsid w:val="00351CC7"/>
    <w:rsid w:val="003532C0"/>
    <w:rsid w:val="0035402B"/>
    <w:rsid w:val="003550F0"/>
    <w:rsid w:val="003600B3"/>
    <w:rsid w:val="00361A0A"/>
    <w:rsid w:val="00361FFF"/>
    <w:rsid w:val="0036218F"/>
    <w:rsid w:val="0036527C"/>
    <w:rsid w:val="00365329"/>
    <w:rsid w:val="00365B51"/>
    <w:rsid w:val="00367B3D"/>
    <w:rsid w:val="00372A74"/>
    <w:rsid w:val="00372D76"/>
    <w:rsid w:val="00372DD3"/>
    <w:rsid w:val="00375858"/>
    <w:rsid w:val="003759E1"/>
    <w:rsid w:val="00376367"/>
    <w:rsid w:val="003778DF"/>
    <w:rsid w:val="0038038E"/>
    <w:rsid w:val="0038065D"/>
    <w:rsid w:val="003807BD"/>
    <w:rsid w:val="00384519"/>
    <w:rsid w:val="0038685D"/>
    <w:rsid w:val="003876E0"/>
    <w:rsid w:val="003902BA"/>
    <w:rsid w:val="00390461"/>
    <w:rsid w:val="0039506A"/>
    <w:rsid w:val="0039710B"/>
    <w:rsid w:val="0039749E"/>
    <w:rsid w:val="003976E0"/>
    <w:rsid w:val="003A08D2"/>
    <w:rsid w:val="003A22BE"/>
    <w:rsid w:val="003A363D"/>
    <w:rsid w:val="003A62A6"/>
    <w:rsid w:val="003A76C9"/>
    <w:rsid w:val="003B09AA"/>
    <w:rsid w:val="003B0CFA"/>
    <w:rsid w:val="003B0D5F"/>
    <w:rsid w:val="003B148C"/>
    <w:rsid w:val="003B186D"/>
    <w:rsid w:val="003B22DF"/>
    <w:rsid w:val="003B261D"/>
    <w:rsid w:val="003B5ED3"/>
    <w:rsid w:val="003C0AAC"/>
    <w:rsid w:val="003C1253"/>
    <w:rsid w:val="003C168F"/>
    <w:rsid w:val="003C1807"/>
    <w:rsid w:val="003C2ADC"/>
    <w:rsid w:val="003C4A9D"/>
    <w:rsid w:val="003C568D"/>
    <w:rsid w:val="003C777B"/>
    <w:rsid w:val="003D1EAC"/>
    <w:rsid w:val="003D284A"/>
    <w:rsid w:val="003D33D1"/>
    <w:rsid w:val="003D4916"/>
    <w:rsid w:val="003D4E94"/>
    <w:rsid w:val="003D650E"/>
    <w:rsid w:val="003D65F3"/>
    <w:rsid w:val="003E43F8"/>
    <w:rsid w:val="003E6C98"/>
    <w:rsid w:val="003E7911"/>
    <w:rsid w:val="003F1B06"/>
    <w:rsid w:val="003F2AFE"/>
    <w:rsid w:val="003F2E45"/>
    <w:rsid w:val="003F3E13"/>
    <w:rsid w:val="003F5327"/>
    <w:rsid w:val="003F6FCB"/>
    <w:rsid w:val="003F71D8"/>
    <w:rsid w:val="003F798F"/>
    <w:rsid w:val="0040018F"/>
    <w:rsid w:val="0040156E"/>
    <w:rsid w:val="004016D6"/>
    <w:rsid w:val="0040287D"/>
    <w:rsid w:val="00403B94"/>
    <w:rsid w:val="004053C4"/>
    <w:rsid w:val="00405567"/>
    <w:rsid w:val="004060E1"/>
    <w:rsid w:val="00410AD8"/>
    <w:rsid w:val="00411159"/>
    <w:rsid w:val="00411B5B"/>
    <w:rsid w:val="00411D40"/>
    <w:rsid w:val="004128DD"/>
    <w:rsid w:val="004131F5"/>
    <w:rsid w:val="00415005"/>
    <w:rsid w:val="00415278"/>
    <w:rsid w:val="00415DB8"/>
    <w:rsid w:val="004170F2"/>
    <w:rsid w:val="00417D8F"/>
    <w:rsid w:val="0042144B"/>
    <w:rsid w:val="00423B57"/>
    <w:rsid w:val="00423EE8"/>
    <w:rsid w:val="00424A4A"/>
    <w:rsid w:val="00424E57"/>
    <w:rsid w:val="00425684"/>
    <w:rsid w:val="00426516"/>
    <w:rsid w:val="00426751"/>
    <w:rsid w:val="00426AB0"/>
    <w:rsid w:val="00430C91"/>
    <w:rsid w:val="004317E3"/>
    <w:rsid w:val="004351BD"/>
    <w:rsid w:val="00435BBF"/>
    <w:rsid w:val="004363C7"/>
    <w:rsid w:val="00441A5C"/>
    <w:rsid w:val="00445D30"/>
    <w:rsid w:val="00446567"/>
    <w:rsid w:val="004472C9"/>
    <w:rsid w:val="00447967"/>
    <w:rsid w:val="00447A47"/>
    <w:rsid w:val="0045214D"/>
    <w:rsid w:val="004534B7"/>
    <w:rsid w:val="00453DDB"/>
    <w:rsid w:val="00455014"/>
    <w:rsid w:val="004559D8"/>
    <w:rsid w:val="00455E8E"/>
    <w:rsid w:val="004618A9"/>
    <w:rsid w:val="00461CBE"/>
    <w:rsid w:val="004639C3"/>
    <w:rsid w:val="00463C53"/>
    <w:rsid w:val="004648B0"/>
    <w:rsid w:val="004660EA"/>
    <w:rsid w:val="004664DA"/>
    <w:rsid w:val="00467EAC"/>
    <w:rsid w:val="00470BA8"/>
    <w:rsid w:val="004715CD"/>
    <w:rsid w:val="00472005"/>
    <w:rsid w:val="0047223D"/>
    <w:rsid w:val="00475E80"/>
    <w:rsid w:val="004763C9"/>
    <w:rsid w:val="004829A1"/>
    <w:rsid w:val="00482EE6"/>
    <w:rsid w:val="004832C6"/>
    <w:rsid w:val="004840D6"/>
    <w:rsid w:val="0048430C"/>
    <w:rsid w:val="004902DE"/>
    <w:rsid w:val="0049068E"/>
    <w:rsid w:val="00490EF3"/>
    <w:rsid w:val="0049314F"/>
    <w:rsid w:val="00496466"/>
    <w:rsid w:val="004A02A9"/>
    <w:rsid w:val="004A06A9"/>
    <w:rsid w:val="004A1C19"/>
    <w:rsid w:val="004A1E4F"/>
    <w:rsid w:val="004A2D5C"/>
    <w:rsid w:val="004A5C44"/>
    <w:rsid w:val="004A640D"/>
    <w:rsid w:val="004B06BA"/>
    <w:rsid w:val="004B3249"/>
    <w:rsid w:val="004B3889"/>
    <w:rsid w:val="004C0539"/>
    <w:rsid w:val="004C1D34"/>
    <w:rsid w:val="004C3A63"/>
    <w:rsid w:val="004D068C"/>
    <w:rsid w:val="004D2091"/>
    <w:rsid w:val="004D221F"/>
    <w:rsid w:val="004E07F6"/>
    <w:rsid w:val="004E09DF"/>
    <w:rsid w:val="004E1174"/>
    <w:rsid w:val="004E1E69"/>
    <w:rsid w:val="004E2249"/>
    <w:rsid w:val="004E28CE"/>
    <w:rsid w:val="004E49EF"/>
    <w:rsid w:val="004E6EAD"/>
    <w:rsid w:val="004F0455"/>
    <w:rsid w:val="004F17AF"/>
    <w:rsid w:val="004F31B0"/>
    <w:rsid w:val="004F4875"/>
    <w:rsid w:val="004F5CEA"/>
    <w:rsid w:val="004F752A"/>
    <w:rsid w:val="0050086F"/>
    <w:rsid w:val="00501D17"/>
    <w:rsid w:val="0050274E"/>
    <w:rsid w:val="005031A4"/>
    <w:rsid w:val="00503C62"/>
    <w:rsid w:val="00504F11"/>
    <w:rsid w:val="00505904"/>
    <w:rsid w:val="00505BB5"/>
    <w:rsid w:val="0051223A"/>
    <w:rsid w:val="00512C0E"/>
    <w:rsid w:val="00513A33"/>
    <w:rsid w:val="0051402C"/>
    <w:rsid w:val="005143A0"/>
    <w:rsid w:val="00517E57"/>
    <w:rsid w:val="00520139"/>
    <w:rsid w:val="005237E8"/>
    <w:rsid w:val="0052409C"/>
    <w:rsid w:val="00524971"/>
    <w:rsid w:val="00524A97"/>
    <w:rsid w:val="00525AE5"/>
    <w:rsid w:val="00526A15"/>
    <w:rsid w:val="00527233"/>
    <w:rsid w:val="005275D0"/>
    <w:rsid w:val="0053051A"/>
    <w:rsid w:val="00530786"/>
    <w:rsid w:val="00531614"/>
    <w:rsid w:val="005317AB"/>
    <w:rsid w:val="0053299F"/>
    <w:rsid w:val="00532BC9"/>
    <w:rsid w:val="00533E13"/>
    <w:rsid w:val="00535B51"/>
    <w:rsid w:val="005371E2"/>
    <w:rsid w:val="00537EDA"/>
    <w:rsid w:val="00542C06"/>
    <w:rsid w:val="00544611"/>
    <w:rsid w:val="00544CD6"/>
    <w:rsid w:val="00544F63"/>
    <w:rsid w:val="0054517F"/>
    <w:rsid w:val="005514FD"/>
    <w:rsid w:val="00551D7C"/>
    <w:rsid w:val="00553590"/>
    <w:rsid w:val="005541C0"/>
    <w:rsid w:val="00557334"/>
    <w:rsid w:val="00560039"/>
    <w:rsid w:val="00561CE8"/>
    <w:rsid w:val="00562C1D"/>
    <w:rsid w:val="005634CA"/>
    <w:rsid w:val="005635D4"/>
    <w:rsid w:val="0056475E"/>
    <w:rsid w:val="00564B3C"/>
    <w:rsid w:val="00567236"/>
    <w:rsid w:val="00570E5A"/>
    <w:rsid w:val="0057125A"/>
    <w:rsid w:val="005723A7"/>
    <w:rsid w:val="00573265"/>
    <w:rsid w:val="00573E97"/>
    <w:rsid w:val="00576F75"/>
    <w:rsid w:val="0057717A"/>
    <w:rsid w:val="00580829"/>
    <w:rsid w:val="00582501"/>
    <w:rsid w:val="00586E93"/>
    <w:rsid w:val="0059203E"/>
    <w:rsid w:val="0059236F"/>
    <w:rsid w:val="005935C9"/>
    <w:rsid w:val="00595014"/>
    <w:rsid w:val="00595957"/>
    <w:rsid w:val="00595D63"/>
    <w:rsid w:val="005968AB"/>
    <w:rsid w:val="00597F1B"/>
    <w:rsid w:val="005A2817"/>
    <w:rsid w:val="005A3791"/>
    <w:rsid w:val="005A37F2"/>
    <w:rsid w:val="005A3E6E"/>
    <w:rsid w:val="005A4FDA"/>
    <w:rsid w:val="005A7098"/>
    <w:rsid w:val="005B0A57"/>
    <w:rsid w:val="005B1381"/>
    <w:rsid w:val="005B4EBF"/>
    <w:rsid w:val="005B5DDD"/>
    <w:rsid w:val="005B5F7D"/>
    <w:rsid w:val="005B63C4"/>
    <w:rsid w:val="005B72DD"/>
    <w:rsid w:val="005C06E2"/>
    <w:rsid w:val="005C2849"/>
    <w:rsid w:val="005C2D03"/>
    <w:rsid w:val="005C3197"/>
    <w:rsid w:val="005C4BD5"/>
    <w:rsid w:val="005D0766"/>
    <w:rsid w:val="005D1F6E"/>
    <w:rsid w:val="005D26AA"/>
    <w:rsid w:val="005D2BD1"/>
    <w:rsid w:val="005E0016"/>
    <w:rsid w:val="005E0937"/>
    <w:rsid w:val="005E1771"/>
    <w:rsid w:val="005E17C5"/>
    <w:rsid w:val="005E2F42"/>
    <w:rsid w:val="005E36B4"/>
    <w:rsid w:val="005E4370"/>
    <w:rsid w:val="005E6F12"/>
    <w:rsid w:val="005F0300"/>
    <w:rsid w:val="005F3320"/>
    <w:rsid w:val="005F5041"/>
    <w:rsid w:val="00600041"/>
    <w:rsid w:val="006008C3"/>
    <w:rsid w:val="0060241E"/>
    <w:rsid w:val="00603110"/>
    <w:rsid w:val="00603894"/>
    <w:rsid w:val="006059BA"/>
    <w:rsid w:val="00606720"/>
    <w:rsid w:val="00606BBF"/>
    <w:rsid w:val="0061094A"/>
    <w:rsid w:val="00621560"/>
    <w:rsid w:val="006219E7"/>
    <w:rsid w:val="00622CF0"/>
    <w:rsid w:val="00623A71"/>
    <w:rsid w:val="00623AD6"/>
    <w:rsid w:val="00624409"/>
    <w:rsid w:val="00625595"/>
    <w:rsid w:val="00626178"/>
    <w:rsid w:val="006265F0"/>
    <w:rsid w:val="006266D1"/>
    <w:rsid w:val="00630054"/>
    <w:rsid w:val="00630084"/>
    <w:rsid w:val="00630BEF"/>
    <w:rsid w:val="006323B9"/>
    <w:rsid w:val="00633200"/>
    <w:rsid w:val="0063366B"/>
    <w:rsid w:val="00634D28"/>
    <w:rsid w:val="00635539"/>
    <w:rsid w:val="00637371"/>
    <w:rsid w:val="006378BC"/>
    <w:rsid w:val="00637B72"/>
    <w:rsid w:val="00637DF4"/>
    <w:rsid w:val="00641728"/>
    <w:rsid w:val="00642C9C"/>
    <w:rsid w:val="00642CD9"/>
    <w:rsid w:val="00643B00"/>
    <w:rsid w:val="0064423D"/>
    <w:rsid w:val="00644447"/>
    <w:rsid w:val="00650AF7"/>
    <w:rsid w:val="0065198E"/>
    <w:rsid w:val="00652F81"/>
    <w:rsid w:val="0065445C"/>
    <w:rsid w:val="0065474D"/>
    <w:rsid w:val="00655764"/>
    <w:rsid w:val="00655A41"/>
    <w:rsid w:val="006563E9"/>
    <w:rsid w:val="00661B64"/>
    <w:rsid w:val="00662825"/>
    <w:rsid w:val="00664FA2"/>
    <w:rsid w:val="00666CE9"/>
    <w:rsid w:val="00667BB1"/>
    <w:rsid w:val="00670508"/>
    <w:rsid w:val="00671BD2"/>
    <w:rsid w:val="00683B6E"/>
    <w:rsid w:val="006848A8"/>
    <w:rsid w:val="0068594E"/>
    <w:rsid w:val="00685ACA"/>
    <w:rsid w:val="00686CE5"/>
    <w:rsid w:val="00687A1A"/>
    <w:rsid w:val="00690D4A"/>
    <w:rsid w:val="00690FD9"/>
    <w:rsid w:val="0069289E"/>
    <w:rsid w:val="00695695"/>
    <w:rsid w:val="00695D80"/>
    <w:rsid w:val="00696DDB"/>
    <w:rsid w:val="006A01CA"/>
    <w:rsid w:val="006A2877"/>
    <w:rsid w:val="006A2E26"/>
    <w:rsid w:val="006A4548"/>
    <w:rsid w:val="006A661F"/>
    <w:rsid w:val="006A74A3"/>
    <w:rsid w:val="006B2E4B"/>
    <w:rsid w:val="006B4116"/>
    <w:rsid w:val="006B4D3A"/>
    <w:rsid w:val="006B62BC"/>
    <w:rsid w:val="006B6895"/>
    <w:rsid w:val="006C034F"/>
    <w:rsid w:val="006C22AA"/>
    <w:rsid w:val="006C2B00"/>
    <w:rsid w:val="006C568E"/>
    <w:rsid w:val="006C5737"/>
    <w:rsid w:val="006C5CE2"/>
    <w:rsid w:val="006C6CE7"/>
    <w:rsid w:val="006C7F12"/>
    <w:rsid w:val="006D05D5"/>
    <w:rsid w:val="006D1B68"/>
    <w:rsid w:val="006D2727"/>
    <w:rsid w:val="006D5287"/>
    <w:rsid w:val="006D737A"/>
    <w:rsid w:val="006E064E"/>
    <w:rsid w:val="006E0A03"/>
    <w:rsid w:val="006E1592"/>
    <w:rsid w:val="006E1F5E"/>
    <w:rsid w:val="006E2DD5"/>
    <w:rsid w:val="006E32A6"/>
    <w:rsid w:val="006E4709"/>
    <w:rsid w:val="006E6ECE"/>
    <w:rsid w:val="006E7576"/>
    <w:rsid w:val="006E7BA7"/>
    <w:rsid w:val="006F0AE0"/>
    <w:rsid w:val="006F0C86"/>
    <w:rsid w:val="006F3D6A"/>
    <w:rsid w:val="006F3ED4"/>
    <w:rsid w:val="006F5AEB"/>
    <w:rsid w:val="006F5D8F"/>
    <w:rsid w:val="006F7692"/>
    <w:rsid w:val="0070040F"/>
    <w:rsid w:val="00700B09"/>
    <w:rsid w:val="00703BC2"/>
    <w:rsid w:val="00704148"/>
    <w:rsid w:val="0070484D"/>
    <w:rsid w:val="0070531F"/>
    <w:rsid w:val="007060AF"/>
    <w:rsid w:val="0070702B"/>
    <w:rsid w:val="00707114"/>
    <w:rsid w:val="0070711E"/>
    <w:rsid w:val="00712F54"/>
    <w:rsid w:val="0071377B"/>
    <w:rsid w:val="00713B38"/>
    <w:rsid w:val="007155AB"/>
    <w:rsid w:val="00717ABE"/>
    <w:rsid w:val="0072107D"/>
    <w:rsid w:val="00721A03"/>
    <w:rsid w:val="00722A1F"/>
    <w:rsid w:val="00723B84"/>
    <w:rsid w:val="00723E5C"/>
    <w:rsid w:val="00724CB7"/>
    <w:rsid w:val="00725BC0"/>
    <w:rsid w:val="00725FC1"/>
    <w:rsid w:val="007303B3"/>
    <w:rsid w:val="00732AE6"/>
    <w:rsid w:val="00732D52"/>
    <w:rsid w:val="0073416F"/>
    <w:rsid w:val="007365EA"/>
    <w:rsid w:val="0073695E"/>
    <w:rsid w:val="007373C0"/>
    <w:rsid w:val="0073753B"/>
    <w:rsid w:val="00740C9D"/>
    <w:rsid w:val="007415F7"/>
    <w:rsid w:val="0074204E"/>
    <w:rsid w:val="00742995"/>
    <w:rsid w:val="00742B23"/>
    <w:rsid w:val="00742B94"/>
    <w:rsid w:val="00743E81"/>
    <w:rsid w:val="00745D22"/>
    <w:rsid w:val="00746C08"/>
    <w:rsid w:val="007500E6"/>
    <w:rsid w:val="00750365"/>
    <w:rsid w:val="00752521"/>
    <w:rsid w:val="00752614"/>
    <w:rsid w:val="007536F8"/>
    <w:rsid w:val="00755641"/>
    <w:rsid w:val="007569F8"/>
    <w:rsid w:val="00763021"/>
    <w:rsid w:val="007708E3"/>
    <w:rsid w:val="00770AF5"/>
    <w:rsid w:val="00773FAA"/>
    <w:rsid w:val="00784644"/>
    <w:rsid w:val="00784DAA"/>
    <w:rsid w:val="00784FD4"/>
    <w:rsid w:val="00787495"/>
    <w:rsid w:val="0079149B"/>
    <w:rsid w:val="00792DCE"/>
    <w:rsid w:val="00793FDA"/>
    <w:rsid w:val="00794442"/>
    <w:rsid w:val="00794C4B"/>
    <w:rsid w:val="007950A7"/>
    <w:rsid w:val="00796C3D"/>
    <w:rsid w:val="00796DD6"/>
    <w:rsid w:val="007974EF"/>
    <w:rsid w:val="00797850"/>
    <w:rsid w:val="007A0DC8"/>
    <w:rsid w:val="007A360A"/>
    <w:rsid w:val="007A413B"/>
    <w:rsid w:val="007A47E8"/>
    <w:rsid w:val="007A4941"/>
    <w:rsid w:val="007A4E0D"/>
    <w:rsid w:val="007A7174"/>
    <w:rsid w:val="007A72F9"/>
    <w:rsid w:val="007B044E"/>
    <w:rsid w:val="007B05E1"/>
    <w:rsid w:val="007B23D4"/>
    <w:rsid w:val="007B2773"/>
    <w:rsid w:val="007B2829"/>
    <w:rsid w:val="007B49AD"/>
    <w:rsid w:val="007B6E0F"/>
    <w:rsid w:val="007C0741"/>
    <w:rsid w:val="007C320E"/>
    <w:rsid w:val="007C6F40"/>
    <w:rsid w:val="007C7C88"/>
    <w:rsid w:val="007C7DDF"/>
    <w:rsid w:val="007D2917"/>
    <w:rsid w:val="007D4F9A"/>
    <w:rsid w:val="007D5360"/>
    <w:rsid w:val="007D5F3B"/>
    <w:rsid w:val="007D6153"/>
    <w:rsid w:val="007D6D98"/>
    <w:rsid w:val="007D7029"/>
    <w:rsid w:val="007E1A0D"/>
    <w:rsid w:val="007E2C43"/>
    <w:rsid w:val="007E4719"/>
    <w:rsid w:val="007E49DA"/>
    <w:rsid w:val="007E605A"/>
    <w:rsid w:val="007E6162"/>
    <w:rsid w:val="007E65A9"/>
    <w:rsid w:val="007E6DAD"/>
    <w:rsid w:val="007E6E4F"/>
    <w:rsid w:val="007F0AD2"/>
    <w:rsid w:val="007F1CB2"/>
    <w:rsid w:val="007F4307"/>
    <w:rsid w:val="007F547C"/>
    <w:rsid w:val="007F6959"/>
    <w:rsid w:val="00802B7B"/>
    <w:rsid w:val="00805ACA"/>
    <w:rsid w:val="008071E7"/>
    <w:rsid w:val="0080721F"/>
    <w:rsid w:val="008108CE"/>
    <w:rsid w:val="0081176A"/>
    <w:rsid w:val="00812946"/>
    <w:rsid w:val="00812D01"/>
    <w:rsid w:val="008150A3"/>
    <w:rsid w:val="00817CF2"/>
    <w:rsid w:val="0082079A"/>
    <w:rsid w:val="00824FFB"/>
    <w:rsid w:val="00825AC3"/>
    <w:rsid w:val="00826E66"/>
    <w:rsid w:val="008270C5"/>
    <w:rsid w:val="00827361"/>
    <w:rsid w:val="008300CE"/>
    <w:rsid w:val="0083130C"/>
    <w:rsid w:val="0083130E"/>
    <w:rsid w:val="008313F0"/>
    <w:rsid w:val="008319E3"/>
    <w:rsid w:val="008326F9"/>
    <w:rsid w:val="00835382"/>
    <w:rsid w:val="00835CC8"/>
    <w:rsid w:val="0083605E"/>
    <w:rsid w:val="00836977"/>
    <w:rsid w:val="008378F1"/>
    <w:rsid w:val="008449FA"/>
    <w:rsid w:val="00850F80"/>
    <w:rsid w:val="008523C3"/>
    <w:rsid w:val="008528D4"/>
    <w:rsid w:val="008529BC"/>
    <w:rsid w:val="00856648"/>
    <w:rsid w:val="00857A7C"/>
    <w:rsid w:val="00860032"/>
    <w:rsid w:val="00866248"/>
    <w:rsid w:val="008708A5"/>
    <w:rsid w:val="00871109"/>
    <w:rsid w:val="0087417A"/>
    <w:rsid w:val="008764D6"/>
    <w:rsid w:val="00876BAA"/>
    <w:rsid w:val="00876F30"/>
    <w:rsid w:val="00877F33"/>
    <w:rsid w:val="0088009F"/>
    <w:rsid w:val="00880EC1"/>
    <w:rsid w:val="00883CF9"/>
    <w:rsid w:val="0088400C"/>
    <w:rsid w:val="00886170"/>
    <w:rsid w:val="00886897"/>
    <w:rsid w:val="00887F22"/>
    <w:rsid w:val="008901EA"/>
    <w:rsid w:val="00891333"/>
    <w:rsid w:val="008923A4"/>
    <w:rsid w:val="00892459"/>
    <w:rsid w:val="00892663"/>
    <w:rsid w:val="008927A9"/>
    <w:rsid w:val="008943E7"/>
    <w:rsid w:val="008949E4"/>
    <w:rsid w:val="00896AAF"/>
    <w:rsid w:val="00896C7C"/>
    <w:rsid w:val="0089733E"/>
    <w:rsid w:val="00897E0B"/>
    <w:rsid w:val="008B0740"/>
    <w:rsid w:val="008B1A40"/>
    <w:rsid w:val="008B1C77"/>
    <w:rsid w:val="008B354B"/>
    <w:rsid w:val="008B42DA"/>
    <w:rsid w:val="008B4D0E"/>
    <w:rsid w:val="008B5081"/>
    <w:rsid w:val="008B58EE"/>
    <w:rsid w:val="008B749A"/>
    <w:rsid w:val="008B7DD8"/>
    <w:rsid w:val="008C0940"/>
    <w:rsid w:val="008C26CB"/>
    <w:rsid w:val="008C2C5D"/>
    <w:rsid w:val="008C3332"/>
    <w:rsid w:val="008C3FFE"/>
    <w:rsid w:val="008C4CCF"/>
    <w:rsid w:val="008C58F4"/>
    <w:rsid w:val="008C5DED"/>
    <w:rsid w:val="008D07D5"/>
    <w:rsid w:val="008D245F"/>
    <w:rsid w:val="008D26BC"/>
    <w:rsid w:val="008D27BB"/>
    <w:rsid w:val="008D304A"/>
    <w:rsid w:val="008E1D17"/>
    <w:rsid w:val="008E1DB6"/>
    <w:rsid w:val="008E3E26"/>
    <w:rsid w:val="008E5833"/>
    <w:rsid w:val="008E6160"/>
    <w:rsid w:val="008E6645"/>
    <w:rsid w:val="008E7010"/>
    <w:rsid w:val="008E7C81"/>
    <w:rsid w:val="008F0909"/>
    <w:rsid w:val="008F0B62"/>
    <w:rsid w:val="008F0C26"/>
    <w:rsid w:val="008F143E"/>
    <w:rsid w:val="008F46CC"/>
    <w:rsid w:val="008F53F9"/>
    <w:rsid w:val="008F6D83"/>
    <w:rsid w:val="00900F45"/>
    <w:rsid w:val="00901294"/>
    <w:rsid w:val="00903B74"/>
    <w:rsid w:val="0090504F"/>
    <w:rsid w:val="00907C87"/>
    <w:rsid w:val="00911D9F"/>
    <w:rsid w:val="00914AEE"/>
    <w:rsid w:val="00915035"/>
    <w:rsid w:val="00915499"/>
    <w:rsid w:val="00916154"/>
    <w:rsid w:val="009211DE"/>
    <w:rsid w:val="00921816"/>
    <w:rsid w:val="00921CFE"/>
    <w:rsid w:val="0092356F"/>
    <w:rsid w:val="00924039"/>
    <w:rsid w:val="00927257"/>
    <w:rsid w:val="00931AF3"/>
    <w:rsid w:val="009332DF"/>
    <w:rsid w:val="009337E7"/>
    <w:rsid w:val="00934715"/>
    <w:rsid w:val="00937CE9"/>
    <w:rsid w:val="009419C8"/>
    <w:rsid w:val="00941E5F"/>
    <w:rsid w:val="0094609C"/>
    <w:rsid w:val="009461A1"/>
    <w:rsid w:val="00947574"/>
    <w:rsid w:val="00947E09"/>
    <w:rsid w:val="00951370"/>
    <w:rsid w:val="00951FEE"/>
    <w:rsid w:val="009524B5"/>
    <w:rsid w:val="00956A42"/>
    <w:rsid w:val="00957462"/>
    <w:rsid w:val="009579B5"/>
    <w:rsid w:val="00962697"/>
    <w:rsid w:val="009627FF"/>
    <w:rsid w:val="00962CF8"/>
    <w:rsid w:val="009642F1"/>
    <w:rsid w:val="00964478"/>
    <w:rsid w:val="00964D85"/>
    <w:rsid w:val="00964F8C"/>
    <w:rsid w:val="0096548E"/>
    <w:rsid w:val="00967DC3"/>
    <w:rsid w:val="00970F33"/>
    <w:rsid w:val="00971FCF"/>
    <w:rsid w:val="00972382"/>
    <w:rsid w:val="009771A0"/>
    <w:rsid w:val="009779B5"/>
    <w:rsid w:val="00977F63"/>
    <w:rsid w:val="009808DC"/>
    <w:rsid w:val="00982B46"/>
    <w:rsid w:val="0098372A"/>
    <w:rsid w:val="00984596"/>
    <w:rsid w:val="00984A52"/>
    <w:rsid w:val="00984C65"/>
    <w:rsid w:val="00986A55"/>
    <w:rsid w:val="009870B0"/>
    <w:rsid w:val="00992FE6"/>
    <w:rsid w:val="00995066"/>
    <w:rsid w:val="009952FC"/>
    <w:rsid w:val="00996650"/>
    <w:rsid w:val="009A0BC8"/>
    <w:rsid w:val="009A26D4"/>
    <w:rsid w:val="009A292C"/>
    <w:rsid w:val="009A2BB1"/>
    <w:rsid w:val="009A30A9"/>
    <w:rsid w:val="009A34EB"/>
    <w:rsid w:val="009A5F7A"/>
    <w:rsid w:val="009A64DD"/>
    <w:rsid w:val="009A6A41"/>
    <w:rsid w:val="009B060E"/>
    <w:rsid w:val="009B1774"/>
    <w:rsid w:val="009B4441"/>
    <w:rsid w:val="009B452A"/>
    <w:rsid w:val="009B5E27"/>
    <w:rsid w:val="009B5E87"/>
    <w:rsid w:val="009B5F1B"/>
    <w:rsid w:val="009B746F"/>
    <w:rsid w:val="009C0C9F"/>
    <w:rsid w:val="009C1912"/>
    <w:rsid w:val="009C22D9"/>
    <w:rsid w:val="009C349C"/>
    <w:rsid w:val="009C402E"/>
    <w:rsid w:val="009C45DF"/>
    <w:rsid w:val="009D242B"/>
    <w:rsid w:val="009D2D34"/>
    <w:rsid w:val="009D4034"/>
    <w:rsid w:val="009D40D2"/>
    <w:rsid w:val="009E042E"/>
    <w:rsid w:val="009E1339"/>
    <w:rsid w:val="009E2E1F"/>
    <w:rsid w:val="009E3C35"/>
    <w:rsid w:val="009E41D6"/>
    <w:rsid w:val="009E73BE"/>
    <w:rsid w:val="009F0E81"/>
    <w:rsid w:val="009F2778"/>
    <w:rsid w:val="009F795F"/>
    <w:rsid w:val="00A008E9"/>
    <w:rsid w:val="00A0290A"/>
    <w:rsid w:val="00A04F44"/>
    <w:rsid w:val="00A05C36"/>
    <w:rsid w:val="00A06548"/>
    <w:rsid w:val="00A11B65"/>
    <w:rsid w:val="00A13B35"/>
    <w:rsid w:val="00A21A7E"/>
    <w:rsid w:val="00A250A3"/>
    <w:rsid w:val="00A321C2"/>
    <w:rsid w:val="00A34F98"/>
    <w:rsid w:val="00A37F18"/>
    <w:rsid w:val="00A4097E"/>
    <w:rsid w:val="00A4153C"/>
    <w:rsid w:val="00A43293"/>
    <w:rsid w:val="00A44778"/>
    <w:rsid w:val="00A447EF"/>
    <w:rsid w:val="00A451B6"/>
    <w:rsid w:val="00A45ECC"/>
    <w:rsid w:val="00A46760"/>
    <w:rsid w:val="00A478EF"/>
    <w:rsid w:val="00A519FE"/>
    <w:rsid w:val="00A5235E"/>
    <w:rsid w:val="00A530B1"/>
    <w:rsid w:val="00A5470F"/>
    <w:rsid w:val="00A5477B"/>
    <w:rsid w:val="00A54828"/>
    <w:rsid w:val="00A550EB"/>
    <w:rsid w:val="00A55EA1"/>
    <w:rsid w:val="00A56372"/>
    <w:rsid w:val="00A569CD"/>
    <w:rsid w:val="00A572A3"/>
    <w:rsid w:val="00A61E59"/>
    <w:rsid w:val="00A622A1"/>
    <w:rsid w:val="00A6367A"/>
    <w:rsid w:val="00A63DBC"/>
    <w:rsid w:val="00A63E08"/>
    <w:rsid w:val="00A642D4"/>
    <w:rsid w:val="00A70FED"/>
    <w:rsid w:val="00A712BE"/>
    <w:rsid w:val="00A73A98"/>
    <w:rsid w:val="00A779B6"/>
    <w:rsid w:val="00A810BE"/>
    <w:rsid w:val="00A81640"/>
    <w:rsid w:val="00A82F5D"/>
    <w:rsid w:val="00A84FF8"/>
    <w:rsid w:val="00A85D27"/>
    <w:rsid w:val="00A90BF3"/>
    <w:rsid w:val="00A9191B"/>
    <w:rsid w:val="00A956B8"/>
    <w:rsid w:val="00A95A5B"/>
    <w:rsid w:val="00A9608B"/>
    <w:rsid w:val="00A9776F"/>
    <w:rsid w:val="00A97BE4"/>
    <w:rsid w:val="00A97C35"/>
    <w:rsid w:val="00AA06A8"/>
    <w:rsid w:val="00AA0A76"/>
    <w:rsid w:val="00AA3567"/>
    <w:rsid w:val="00AA41D1"/>
    <w:rsid w:val="00AA622D"/>
    <w:rsid w:val="00AB4864"/>
    <w:rsid w:val="00AB4DCE"/>
    <w:rsid w:val="00AB4EE8"/>
    <w:rsid w:val="00AB533A"/>
    <w:rsid w:val="00AC1D25"/>
    <w:rsid w:val="00AC22FC"/>
    <w:rsid w:val="00AC2494"/>
    <w:rsid w:val="00AC3CD1"/>
    <w:rsid w:val="00AC3D48"/>
    <w:rsid w:val="00AC5C2B"/>
    <w:rsid w:val="00AC6DE5"/>
    <w:rsid w:val="00AD0E59"/>
    <w:rsid w:val="00AD5B0E"/>
    <w:rsid w:val="00AD6B2E"/>
    <w:rsid w:val="00AD704E"/>
    <w:rsid w:val="00AD7154"/>
    <w:rsid w:val="00AD7E5F"/>
    <w:rsid w:val="00AE2F7B"/>
    <w:rsid w:val="00AE480E"/>
    <w:rsid w:val="00AE514D"/>
    <w:rsid w:val="00AE57D5"/>
    <w:rsid w:val="00AE5D2C"/>
    <w:rsid w:val="00AE6A06"/>
    <w:rsid w:val="00AF1301"/>
    <w:rsid w:val="00AF1973"/>
    <w:rsid w:val="00AF368F"/>
    <w:rsid w:val="00AF3C8E"/>
    <w:rsid w:val="00AF4948"/>
    <w:rsid w:val="00AF5A7C"/>
    <w:rsid w:val="00AF5E0E"/>
    <w:rsid w:val="00AF6061"/>
    <w:rsid w:val="00AF72AC"/>
    <w:rsid w:val="00B00D6A"/>
    <w:rsid w:val="00B01476"/>
    <w:rsid w:val="00B028E1"/>
    <w:rsid w:val="00B04308"/>
    <w:rsid w:val="00B10463"/>
    <w:rsid w:val="00B10B37"/>
    <w:rsid w:val="00B10B59"/>
    <w:rsid w:val="00B11262"/>
    <w:rsid w:val="00B13876"/>
    <w:rsid w:val="00B14425"/>
    <w:rsid w:val="00B15D73"/>
    <w:rsid w:val="00B17EAF"/>
    <w:rsid w:val="00B2035C"/>
    <w:rsid w:val="00B21E20"/>
    <w:rsid w:val="00B24290"/>
    <w:rsid w:val="00B245E4"/>
    <w:rsid w:val="00B24CA4"/>
    <w:rsid w:val="00B26558"/>
    <w:rsid w:val="00B30748"/>
    <w:rsid w:val="00B32F24"/>
    <w:rsid w:val="00B33549"/>
    <w:rsid w:val="00B338B6"/>
    <w:rsid w:val="00B342A0"/>
    <w:rsid w:val="00B34E52"/>
    <w:rsid w:val="00B35AD1"/>
    <w:rsid w:val="00B36445"/>
    <w:rsid w:val="00B37B0C"/>
    <w:rsid w:val="00B42D28"/>
    <w:rsid w:val="00B43426"/>
    <w:rsid w:val="00B46370"/>
    <w:rsid w:val="00B46BAC"/>
    <w:rsid w:val="00B46DD5"/>
    <w:rsid w:val="00B51E68"/>
    <w:rsid w:val="00B52E2C"/>
    <w:rsid w:val="00B53403"/>
    <w:rsid w:val="00B54501"/>
    <w:rsid w:val="00B557DB"/>
    <w:rsid w:val="00B55D44"/>
    <w:rsid w:val="00B61969"/>
    <w:rsid w:val="00B628B6"/>
    <w:rsid w:val="00B637CB"/>
    <w:rsid w:val="00B638AE"/>
    <w:rsid w:val="00B64170"/>
    <w:rsid w:val="00B65EF7"/>
    <w:rsid w:val="00B661E2"/>
    <w:rsid w:val="00B72D90"/>
    <w:rsid w:val="00B73AE7"/>
    <w:rsid w:val="00B75B57"/>
    <w:rsid w:val="00B76F65"/>
    <w:rsid w:val="00B770F9"/>
    <w:rsid w:val="00B774EE"/>
    <w:rsid w:val="00B802D4"/>
    <w:rsid w:val="00B8036C"/>
    <w:rsid w:val="00B8095F"/>
    <w:rsid w:val="00B83032"/>
    <w:rsid w:val="00B835C8"/>
    <w:rsid w:val="00B84224"/>
    <w:rsid w:val="00B85B3D"/>
    <w:rsid w:val="00B90219"/>
    <w:rsid w:val="00B90CD2"/>
    <w:rsid w:val="00B911E6"/>
    <w:rsid w:val="00B9288A"/>
    <w:rsid w:val="00B93E35"/>
    <w:rsid w:val="00B949AF"/>
    <w:rsid w:val="00B96EB5"/>
    <w:rsid w:val="00B96EFE"/>
    <w:rsid w:val="00BA2754"/>
    <w:rsid w:val="00BA2BD2"/>
    <w:rsid w:val="00BA5AEC"/>
    <w:rsid w:val="00BB086B"/>
    <w:rsid w:val="00BB23C8"/>
    <w:rsid w:val="00BB3EAA"/>
    <w:rsid w:val="00BB4DFC"/>
    <w:rsid w:val="00BB600B"/>
    <w:rsid w:val="00BB7008"/>
    <w:rsid w:val="00BB7AD7"/>
    <w:rsid w:val="00BC0E7A"/>
    <w:rsid w:val="00BC16D7"/>
    <w:rsid w:val="00BC1E29"/>
    <w:rsid w:val="00BC2464"/>
    <w:rsid w:val="00BC2DFD"/>
    <w:rsid w:val="00BC3B12"/>
    <w:rsid w:val="00BC6EBE"/>
    <w:rsid w:val="00BC6FAF"/>
    <w:rsid w:val="00BC76E2"/>
    <w:rsid w:val="00BD04E4"/>
    <w:rsid w:val="00BD5F89"/>
    <w:rsid w:val="00BE02A4"/>
    <w:rsid w:val="00BE27BB"/>
    <w:rsid w:val="00BE48D3"/>
    <w:rsid w:val="00BE6592"/>
    <w:rsid w:val="00BE6959"/>
    <w:rsid w:val="00BF1928"/>
    <w:rsid w:val="00BF20D4"/>
    <w:rsid w:val="00BF2E6A"/>
    <w:rsid w:val="00BF3F2F"/>
    <w:rsid w:val="00BF402E"/>
    <w:rsid w:val="00BF7463"/>
    <w:rsid w:val="00BF7D4E"/>
    <w:rsid w:val="00C05D2A"/>
    <w:rsid w:val="00C12457"/>
    <w:rsid w:val="00C135CF"/>
    <w:rsid w:val="00C15692"/>
    <w:rsid w:val="00C1745A"/>
    <w:rsid w:val="00C20D4A"/>
    <w:rsid w:val="00C22E7E"/>
    <w:rsid w:val="00C24302"/>
    <w:rsid w:val="00C30BF7"/>
    <w:rsid w:val="00C31726"/>
    <w:rsid w:val="00C34430"/>
    <w:rsid w:val="00C35D03"/>
    <w:rsid w:val="00C40802"/>
    <w:rsid w:val="00C4143C"/>
    <w:rsid w:val="00C418AA"/>
    <w:rsid w:val="00C45882"/>
    <w:rsid w:val="00C45CCE"/>
    <w:rsid w:val="00C464D0"/>
    <w:rsid w:val="00C46807"/>
    <w:rsid w:val="00C47BF6"/>
    <w:rsid w:val="00C503C8"/>
    <w:rsid w:val="00C513FC"/>
    <w:rsid w:val="00C51B35"/>
    <w:rsid w:val="00C611CE"/>
    <w:rsid w:val="00C61D47"/>
    <w:rsid w:val="00C61E0E"/>
    <w:rsid w:val="00C64F11"/>
    <w:rsid w:val="00C65422"/>
    <w:rsid w:val="00C664D7"/>
    <w:rsid w:val="00C66EA9"/>
    <w:rsid w:val="00C670B3"/>
    <w:rsid w:val="00C67EC5"/>
    <w:rsid w:val="00C70223"/>
    <w:rsid w:val="00C70952"/>
    <w:rsid w:val="00C74D36"/>
    <w:rsid w:val="00C74DAE"/>
    <w:rsid w:val="00C7516B"/>
    <w:rsid w:val="00C779C4"/>
    <w:rsid w:val="00C77CB3"/>
    <w:rsid w:val="00C811F2"/>
    <w:rsid w:val="00C813E4"/>
    <w:rsid w:val="00C83E8D"/>
    <w:rsid w:val="00C83EAF"/>
    <w:rsid w:val="00C8448F"/>
    <w:rsid w:val="00C86AD2"/>
    <w:rsid w:val="00C90C91"/>
    <w:rsid w:val="00C94425"/>
    <w:rsid w:val="00C96D58"/>
    <w:rsid w:val="00C97991"/>
    <w:rsid w:val="00CA0950"/>
    <w:rsid w:val="00CA120C"/>
    <w:rsid w:val="00CA123B"/>
    <w:rsid w:val="00CA211E"/>
    <w:rsid w:val="00CA237E"/>
    <w:rsid w:val="00CA239B"/>
    <w:rsid w:val="00CA3F73"/>
    <w:rsid w:val="00CA4F2A"/>
    <w:rsid w:val="00CA5007"/>
    <w:rsid w:val="00CA6AE0"/>
    <w:rsid w:val="00CB00FB"/>
    <w:rsid w:val="00CB0355"/>
    <w:rsid w:val="00CB0AA8"/>
    <w:rsid w:val="00CB5139"/>
    <w:rsid w:val="00CB536A"/>
    <w:rsid w:val="00CB660C"/>
    <w:rsid w:val="00CB6BD0"/>
    <w:rsid w:val="00CC066B"/>
    <w:rsid w:val="00CC07B7"/>
    <w:rsid w:val="00CC29CE"/>
    <w:rsid w:val="00CD0A5A"/>
    <w:rsid w:val="00CD0DBA"/>
    <w:rsid w:val="00CD2767"/>
    <w:rsid w:val="00CD440B"/>
    <w:rsid w:val="00CD459B"/>
    <w:rsid w:val="00CD661D"/>
    <w:rsid w:val="00CD776D"/>
    <w:rsid w:val="00CD78AE"/>
    <w:rsid w:val="00CE0149"/>
    <w:rsid w:val="00CE37AB"/>
    <w:rsid w:val="00CE4293"/>
    <w:rsid w:val="00CE4592"/>
    <w:rsid w:val="00CF3282"/>
    <w:rsid w:val="00CF44F4"/>
    <w:rsid w:val="00D00F69"/>
    <w:rsid w:val="00D0231F"/>
    <w:rsid w:val="00D029B1"/>
    <w:rsid w:val="00D10414"/>
    <w:rsid w:val="00D111E0"/>
    <w:rsid w:val="00D13D42"/>
    <w:rsid w:val="00D143C4"/>
    <w:rsid w:val="00D155E8"/>
    <w:rsid w:val="00D1660B"/>
    <w:rsid w:val="00D209DF"/>
    <w:rsid w:val="00D20C68"/>
    <w:rsid w:val="00D21C96"/>
    <w:rsid w:val="00D23080"/>
    <w:rsid w:val="00D230F9"/>
    <w:rsid w:val="00D239F1"/>
    <w:rsid w:val="00D264A2"/>
    <w:rsid w:val="00D31308"/>
    <w:rsid w:val="00D354B6"/>
    <w:rsid w:val="00D370F3"/>
    <w:rsid w:val="00D37534"/>
    <w:rsid w:val="00D41C84"/>
    <w:rsid w:val="00D421DE"/>
    <w:rsid w:val="00D45AE2"/>
    <w:rsid w:val="00D464BF"/>
    <w:rsid w:val="00D50C9F"/>
    <w:rsid w:val="00D51D40"/>
    <w:rsid w:val="00D51EE0"/>
    <w:rsid w:val="00D54AF5"/>
    <w:rsid w:val="00D566A9"/>
    <w:rsid w:val="00D64DA9"/>
    <w:rsid w:val="00D64EEF"/>
    <w:rsid w:val="00D66A6E"/>
    <w:rsid w:val="00D67403"/>
    <w:rsid w:val="00D70ECB"/>
    <w:rsid w:val="00D712F0"/>
    <w:rsid w:val="00D73FBB"/>
    <w:rsid w:val="00D7552A"/>
    <w:rsid w:val="00D775DE"/>
    <w:rsid w:val="00D80E4D"/>
    <w:rsid w:val="00D81B7E"/>
    <w:rsid w:val="00D82CF6"/>
    <w:rsid w:val="00D82F01"/>
    <w:rsid w:val="00D831FC"/>
    <w:rsid w:val="00D84A38"/>
    <w:rsid w:val="00D867D1"/>
    <w:rsid w:val="00D90947"/>
    <w:rsid w:val="00D929C0"/>
    <w:rsid w:val="00D92F2D"/>
    <w:rsid w:val="00D935C1"/>
    <w:rsid w:val="00D94A82"/>
    <w:rsid w:val="00D96B30"/>
    <w:rsid w:val="00DA2717"/>
    <w:rsid w:val="00DA2F5B"/>
    <w:rsid w:val="00DA3B91"/>
    <w:rsid w:val="00DA562A"/>
    <w:rsid w:val="00DA627D"/>
    <w:rsid w:val="00DB0B47"/>
    <w:rsid w:val="00DB248E"/>
    <w:rsid w:val="00DB3C1E"/>
    <w:rsid w:val="00DB3D6F"/>
    <w:rsid w:val="00DB3ED1"/>
    <w:rsid w:val="00DB7E10"/>
    <w:rsid w:val="00DC1511"/>
    <w:rsid w:val="00DC2640"/>
    <w:rsid w:val="00DC32B2"/>
    <w:rsid w:val="00DC4390"/>
    <w:rsid w:val="00DC45B0"/>
    <w:rsid w:val="00DC507C"/>
    <w:rsid w:val="00DC65F2"/>
    <w:rsid w:val="00DD1F8C"/>
    <w:rsid w:val="00DD2A41"/>
    <w:rsid w:val="00DD3C2A"/>
    <w:rsid w:val="00DD61B3"/>
    <w:rsid w:val="00DD69DD"/>
    <w:rsid w:val="00DD6A68"/>
    <w:rsid w:val="00DD720D"/>
    <w:rsid w:val="00DE1C59"/>
    <w:rsid w:val="00DE5677"/>
    <w:rsid w:val="00DE6D77"/>
    <w:rsid w:val="00DE7C59"/>
    <w:rsid w:val="00DF0BD7"/>
    <w:rsid w:val="00DF1E4A"/>
    <w:rsid w:val="00DF1E57"/>
    <w:rsid w:val="00DF385B"/>
    <w:rsid w:val="00DF4166"/>
    <w:rsid w:val="00DF4AB3"/>
    <w:rsid w:val="00DF60E5"/>
    <w:rsid w:val="00E00D4F"/>
    <w:rsid w:val="00E0196B"/>
    <w:rsid w:val="00E02BF7"/>
    <w:rsid w:val="00E04A38"/>
    <w:rsid w:val="00E05263"/>
    <w:rsid w:val="00E12098"/>
    <w:rsid w:val="00E12260"/>
    <w:rsid w:val="00E147F9"/>
    <w:rsid w:val="00E24011"/>
    <w:rsid w:val="00E25AD5"/>
    <w:rsid w:val="00E26A51"/>
    <w:rsid w:val="00E27125"/>
    <w:rsid w:val="00E320D8"/>
    <w:rsid w:val="00E3540C"/>
    <w:rsid w:val="00E363E9"/>
    <w:rsid w:val="00E36B73"/>
    <w:rsid w:val="00E37548"/>
    <w:rsid w:val="00E401D5"/>
    <w:rsid w:val="00E41117"/>
    <w:rsid w:val="00E41982"/>
    <w:rsid w:val="00E41D48"/>
    <w:rsid w:val="00E41FBA"/>
    <w:rsid w:val="00E4492F"/>
    <w:rsid w:val="00E45F52"/>
    <w:rsid w:val="00E476BB"/>
    <w:rsid w:val="00E50442"/>
    <w:rsid w:val="00E50AE1"/>
    <w:rsid w:val="00E52657"/>
    <w:rsid w:val="00E52708"/>
    <w:rsid w:val="00E52D79"/>
    <w:rsid w:val="00E53100"/>
    <w:rsid w:val="00E5746B"/>
    <w:rsid w:val="00E57B17"/>
    <w:rsid w:val="00E57D42"/>
    <w:rsid w:val="00E60063"/>
    <w:rsid w:val="00E60F2B"/>
    <w:rsid w:val="00E6100D"/>
    <w:rsid w:val="00E6317E"/>
    <w:rsid w:val="00E634BC"/>
    <w:rsid w:val="00E64131"/>
    <w:rsid w:val="00E64FD8"/>
    <w:rsid w:val="00E67395"/>
    <w:rsid w:val="00E6788C"/>
    <w:rsid w:val="00E6791F"/>
    <w:rsid w:val="00E701BC"/>
    <w:rsid w:val="00E7258A"/>
    <w:rsid w:val="00E73601"/>
    <w:rsid w:val="00E74700"/>
    <w:rsid w:val="00E74F41"/>
    <w:rsid w:val="00E76EA0"/>
    <w:rsid w:val="00E77912"/>
    <w:rsid w:val="00E81955"/>
    <w:rsid w:val="00E8375A"/>
    <w:rsid w:val="00E86095"/>
    <w:rsid w:val="00E87436"/>
    <w:rsid w:val="00E90343"/>
    <w:rsid w:val="00E92F29"/>
    <w:rsid w:val="00E940B3"/>
    <w:rsid w:val="00EA1659"/>
    <w:rsid w:val="00EA199A"/>
    <w:rsid w:val="00EA2AA0"/>
    <w:rsid w:val="00EA4458"/>
    <w:rsid w:val="00EA4B1C"/>
    <w:rsid w:val="00EA6583"/>
    <w:rsid w:val="00EA7DDF"/>
    <w:rsid w:val="00EB16D0"/>
    <w:rsid w:val="00EB296A"/>
    <w:rsid w:val="00EB40A1"/>
    <w:rsid w:val="00EB415C"/>
    <w:rsid w:val="00EB4B08"/>
    <w:rsid w:val="00EB5D57"/>
    <w:rsid w:val="00EC1205"/>
    <w:rsid w:val="00EC2574"/>
    <w:rsid w:val="00EC2F13"/>
    <w:rsid w:val="00EC4A34"/>
    <w:rsid w:val="00EC5B2C"/>
    <w:rsid w:val="00EC6302"/>
    <w:rsid w:val="00EC698C"/>
    <w:rsid w:val="00ED0ABA"/>
    <w:rsid w:val="00ED1012"/>
    <w:rsid w:val="00ED1E58"/>
    <w:rsid w:val="00ED3462"/>
    <w:rsid w:val="00ED61F5"/>
    <w:rsid w:val="00ED7B65"/>
    <w:rsid w:val="00EE083A"/>
    <w:rsid w:val="00EE0FC7"/>
    <w:rsid w:val="00EE101E"/>
    <w:rsid w:val="00EE1197"/>
    <w:rsid w:val="00EE220D"/>
    <w:rsid w:val="00EE22EE"/>
    <w:rsid w:val="00EE2983"/>
    <w:rsid w:val="00EE393B"/>
    <w:rsid w:val="00EE3A1B"/>
    <w:rsid w:val="00EE441B"/>
    <w:rsid w:val="00EE62AB"/>
    <w:rsid w:val="00EE641F"/>
    <w:rsid w:val="00EE6FBF"/>
    <w:rsid w:val="00EF4106"/>
    <w:rsid w:val="00EF746D"/>
    <w:rsid w:val="00F00371"/>
    <w:rsid w:val="00F062B6"/>
    <w:rsid w:val="00F108B1"/>
    <w:rsid w:val="00F10A30"/>
    <w:rsid w:val="00F11552"/>
    <w:rsid w:val="00F12287"/>
    <w:rsid w:val="00F12EEF"/>
    <w:rsid w:val="00F13EF0"/>
    <w:rsid w:val="00F146D9"/>
    <w:rsid w:val="00F148C2"/>
    <w:rsid w:val="00F151E6"/>
    <w:rsid w:val="00F176AD"/>
    <w:rsid w:val="00F20499"/>
    <w:rsid w:val="00F2078C"/>
    <w:rsid w:val="00F21EDF"/>
    <w:rsid w:val="00F232CE"/>
    <w:rsid w:val="00F26018"/>
    <w:rsid w:val="00F26A11"/>
    <w:rsid w:val="00F27A29"/>
    <w:rsid w:val="00F30465"/>
    <w:rsid w:val="00F30D11"/>
    <w:rsid w:val="00F31320"/>
    <w:rsid w:val="00F31AAE"/>
    <w:rsid w:val="00F323A0"/>
    <w:rsid w:val="00F34B2A"/>
    <w:rsid w:val="00F362D0"/>
    <w:rsid w:val="00F42005"/>
    <w:rsid w:val="00F438AD"/>
    <w:rsid w:val="00F44D5B"/>
    <w:rsid w:val="00F47E33"/>
    <w:rsid w:val="00F50C7E"/>
    <w:rsid w:val="00F51725"/>
    <w:rsid w:val="00F53327"/>
    <w:rsid w:val="00F53768"/>
    <w:rsid w:val="00F547CF"/>
    <w:rsid w:val="00F556A9"/>
    <w:rsid w:val="00F55E18"/>
    <w:rsid w:val="00F57419"/>
    <w:rsid w:val="00F575EA"/>
    <w:rsid w:val="00F57C89"/>
    <w:rsid w:val="00F60652"/>
    <w:rsid w:val="00F62DB2"/>
    <w:rsid w:val="00F63017"/>
    <w:rsid w:val="00F63A02"/>
    <w:rsid w:val="00F63C86"/>
    <w:rsid w:val="00F63FF7"/>
    <w:rsid w:val="00F66A02"/>
    <w:rsid w:val="00F67070"/>
    <w:rsid w:val="00F75437"/>
    <w:rsid w:val="00F76D0E"/>
    <w:rsid w:val="00F76FE9"/>
    <w:rsid w:val="00F81C84"/>
    <w:rsid w:val="00F82DD4"/>
    <w:rsid w:val="00F83878"/>
    <w:rsid w:val="00F84A3F"/>
    <w:rsid w:val="00F871DC"/>
    <w:rsid w:val="00F90302"/>
    <w:rsid w:val="00F914D2"/>
    <w:rsid w:val="00F92E0B"/>
    <w:rsid w:val="00F9309B"/>
    <w:rsid w:val="00F93614"/>
    <w:rsid w:val="00F95779"/>
    <w:rsid w:val="00FA2601"/>
    <w:rsid w:val="00FA59C7"/>
    <w:rsid w:val="00FB0D88"/>
    <w:rsid w:val="00FB1A07"/>
    <w:rsid w:val="00FB2B45"/>
    <w:rsid w:val="00FB7472"/>
    <w:rsid w:val="00FC1976"/>
    <w:rsid w:val="00FC223A"/>
    <w:rsid w:val="00FC28E2"/>
    <w:rsid w:val="00FC3E1B"/>
    <w:rsid w:val="00FC65DD"/>
    <w:rsid w:val="00FC764A"/>
    <w:rsid w:val="00FD4389"/>
    <w:rsid w:val="00FD4897"/>
    <w:rsid w:val="00FD4BD2"/>
    <w:rsid w:val="00FD6800"/>
    <w:rsid w:val="00FD6893"/>
    <w:rsid w:val="00FD7268"/>
    <w:rsid w:val="00FE016B"/>
    <w:rsid w:val="00FE1226"/>
    <w:rsid w:val="00FE1745"/>
    <w:rsid w:val="00FE17DE"/>
    <w:rsid w:val="00FE489D"/>
    <w:rsid w:val="00FE6549"/>
    <w:rsid w:val="00FF051E"/>
    <w:rsid w:val="00FF1511"/>
    <w:rsid w:val="00FF1623"/>
    <w:rsid w:val="00FF1A75"/>
    <w:rsid w:val="00FF40D9"/>
    <w:rsid w:val="00FF4A60"/>
    <w:rsid w:val="00FF50F8"/>
    <w:rsid w:val="00FF6086"/>
    <w:rsid w:val="02036A76"/>
    <w:rsid w:val="0263184D"/>
    <w:rsid w:val="03043044"/>
    <w:rsid w:val="04710F90"/>
    <w:rsid w:val="06032E51"/>
    <w:rsid w:val="067032BA"/>
    <w:rsid w:val="078A19BE"/>
    <w:rsid w:val="078D1C71"/>
    <w:rsid w:val="089718A6"/>
    <w:rsid w:val="090B70D9"/>
    <w:rsid w:val="09834813"/>
    <w:rsid w:val="0BEF192C"/>
    <w:rsid w:val="0C466521"/>
    <w:rsid w:val="0D0A1605"/>
    <w:rsid w:val="0D9F762C"/>
    <w:rsid w:val="0E5F4244"/>
    <w:rsid w:val="10376C1E"/>
    <w:rsid w:val="10EB49BB"/>
    <w:rsid w:val="11D479AC"/>
    <w:rsid w:val="135C4DF5"/>
    <w:rsid w:val="13BE3B38"/>
    <w:rsid w:val="13DD1980"/>
    <w:rsid w:val="162D296C"/>
    <w:rsid w:val="17CD079D"/>
    <w:rsid w:val="17D542C1"/>
    <w:rsid w:val="188735FD"/>
    <w:rsid w:val="1A243971"/>
    <w:rsid w:val="1A4344CA"/>
    <w:rsid w:val="1A474F92"/>
    <w:rsid w:val="1D01302D"/>
    <w:rsid w:val="1F237B5F"/>
    <w:rsid w:val="1F53507C"/>
    <w:rsid w:val="1F6441EE"/>
    <w:rsid w:val="1F6B4525"/>
    <w:rsid w:val="204F7F08"/>
    <w:rsid w:val="21216884"/>
    <w:rsid w:val="22544324"/>
    <w:rsid w:val="22B11C96"/>
    <w:rsid w:val="23337719"/>
    <w:rsid w:val="23DA68F6"/>
    <w:rsid w:val="240B2A90"/>
    <w:rsid w:val="24A45746"/>
    <w:rsid w:val="25D372EE"/>
    <w:rsid w:val="27776C9D"/>
    <w:rsid w:val="277A076D"/>
    <w:rsid w:val="277F3AB1"/>
    <w:rsid w:val="28B26ACD"/>
    <w:rsid w:val="2B2D02F9"/>
    <w:rsid w:val="2C716959"/>
    <w:rsid w:val="2CE22967"/>
    <w:rsid w:val="2CFE1277"/>
    <w:rsid w:val="2F414587"/>
    <w:rsid w:val="2F74578F"/>
    <w:rsid w:val="2FD30DC5"/>
    <w:rsid w:val="300F7969"/>
    <w:rsid w:val="31A223F6"/>
    <w:rsid w:val="32706662"/>
    <w:rsid w:val="32E42A54"/>
    <w:rsid w:val="343666E7"/>
    <w:rsid w:val="346A21F4"/>
    <w:rsid w:val="346F726D"/>
    <w:rsid w:val="35193F7D"/>
    <w:rsid w:val="360E60B0"/>
    <w:rsid w:val="37D85071"/>
    <w:rsid w:val="38160308"/>
    <w:rsid w:val="38912AC0"/>
    <w:rsid w:val="38D216D9"/>
    <w:rsid w:val="38FC74B1"/>
    <w:rsid w:val="3A5B76EF"/>
    <w:rsid w:val="3B9B0D41"/>
    <w:rsid w:val="3B9E76C1"/>
    <w:rsid w:val="3DC621A0"/>
    <w:rsid w:val="3E697F31"/>
    <w:rsid w:val="3E857907"/>
    <w:rsid w:val="3EC254F9"/>
    <w:rsid w:val="40296AF8"/>
    <w:rsid w:val="40C4784F"/>
    <w:rsid w:val="4196424D"/>
    <w:rsid w:val="440664DF"/>
    <w:rsid w:val="44F00B4A"/>
    <w:rsid w:val="44F90029"/>
    <w:rsid w:val="455D284D"/>
    <w:rsid w:val="45D32171"/>
    <w:rsid w:val="46162193"/>
    <w:rsid w:val="467873FB"/>
    <w:rsid w:val="478F08A8"/>
    <w:rsid w:val="47A4023F"/>
    <w:rsid w:val="489D6267"/>
    <w:rsid w:val="4B0465C3"/>
    <w:rsid w:val="4BAF3D35"/>
    <w:rsid w:val="4E477F12"/>
    <w:rsid w:val="4F45114D"/>
    <w:rsid w:val="4FDB1EE8"/>
    <w:rsid w:val="4FE46C32"/>
    <w:rsid w:val="521D17EC"/>
    <w:rsid w:val="52AB362D"/>
    <w:rsid w:val="53F166A2"/>
    <w:rsid w:val="54654E22"/>
    <w:rsid w:val="54A2071D"/>
    <w:rsid w:val="555675C0"/>
    <w:rsid w:val="55D76C71"/>
    <w:rsid w:val="57B22BF3"/>
    <w:rsid w:val="58AA742F"/>
    <w:rsid w:val="58D151D0"/>
    <w:rsid w:val="5A002D96"/>
    <w:rsid w:val="5ADD1E31"/>
    <w:rsid w:val="5B312972"/>
    <w:rsid w:val="5C2D57F1"/>
    <w:rsid w:val="5D176E84"/>
    <w:rsid w:val="5D2652AB"/>
    <w:rsid w:val="5D573A29"/>
    <w:rsid w:val="5FD66117"/>
    <w:rsid w:val="60EE5037"/>
    <w:rsid w:val="615F0CE6"/>
    <w:rsid w:val="61E65ECC"/>
    <w:rsid w:val="624D71A8"/>
    <w:rsid w:val="629B626F"/>
    <w:rsid w:val="64992AE5"/>
    <w:rsid w:val="66AB5F65"/>
    <w:rsid w:val="67FE0B27"/>
    <w:rsid w:val="6899376F"/>
    <w:rsid w:val="690C36D4"/>
    <w:rsid w:val="691E2DA4"/>
    <w:rsid w:val="692D1E6D"/>
    <w:rsid w:val="6A6C5DA8"/>
    <w:rsid w:val="6B7E1CF9"/>
    <w:rsid w:val="6C4471A4"/>
    <w:rsid w:val="6C453724"/>
    <w:rsid w:val="6C9C4785"/>
    <w:rsid w:val="6E717A3F"/>
    <w:rsid w:val="6FAA3DE3"/>
    <w:rsid w:val="6FFC4A31"/>
    <w:rsid w:val="700E36D8"/>
    <w:rsid w:val="713228D7"/>
    <w:rsid w:val="71564C17"/>
    <w:rsid w:val="72754BE6"/>
    <w:rsid w:val="735400AF"/>
    <w:rsid w:val="73892F43"/>
    <w:rsid w:val="7396481D"/>
    <w:rsid w:val="74B80928"/>
    <w:rsid w:val="74E314C0"/>
    <w:rsid w:val="7677232D"/>
    <w:rsid w:val="774433DF"/>
    <w:rsid w:val="776807BD"/>
    <w:rsid w:val="776F5411"/>
    <w:rsid w:val="7834097B"/>
    <w:rsid w:val="7A571F47"/>
    <w:rsid w:val="7C5F5CE0"/>
    <w:rsid w:val="7C9B0A3B"/>
    <w:rsid w:val="7CAA7279"/>
    <w:rsid w:val="7D582ED6"/>
    <w:rsid w:val="7E8E72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3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6"/>
    <w:qFormat/>
    <w:uiPriority w:val="99"/>
    <w:pPr>
      <w:keepNext/>
      <w:keepLines/>
      <w:spacing w:before="260" w:after="260" w:line="416" w:lineRule="auto"/>
      <w:outlineLvl w:val="2"/>
    </w:pPr>
    <w:rPr>
      <w:rFonts w:ascii="Times New Roman" w:hAnsi="Times New Roman"/>
      <w:b/>
      <w:bCs/>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1260"/>
    </w:pPr>
  </w:style>
  <w:style w:type="paragraph" w:styleId="6">
    <w:name w:val="Normal Indent"/>
    <w:basedOn w:val="1"/>
    <w:link w:val="48"/>
    <w:semiHidden/>
    <w:qFormat/>
    <w:uiPriority w:val="99"/>
    <w:pPr>
      <w:spacing w:line="360" w:lineRule="auto"/>
      <w:ind w:firstLine="200" w:firstLineChars="200"/>
    </w:pPr>
    <w:rPr>
      <w:kern w:val="0"/>
      <w:sz w:val="24"/>
      <w:szCs w:val="24"/>
    </w:rPr>
  </w:style>
  <w:style w:type="paragraph" w:styleId="7">
    <w:name w:val="caption"/>
    <w:basedOn w:val="1"/>
    <w:next w:val="1"/>
    <w:qFormat/>
    <w:uiPriority w:val="99"/>
    <w:rPr>
      <w:rFonts w:ascii="Cambria" w:hAnsi="Cambria" w:eastAsia="黑体"/>
      <w:sz w:val="20"/>
      <w:szCs w:val="20"/>
    </w:rPr>
  </w:style>
  <w:style w:type="paragraph" w:styleId="8">
    <w:name w:val="Document Map"/>
    <w:basedOn w:val="1"/>
    <w:link w:val="39"/>
    <w:semiHidden/>
    <w:qFormat/>
    <w:uiPriority w:val="99"/>
    <w:rPr>
      <w:rFonts w:ascii="宋体"/>
      <w:sz w:val="18"/>
      <w:szCs w:val="18"/>
    </w:rPr>
  </w:style>
  <w:style w:type="paragraph" w:styleId="9">
    <w:name w:val="annotation text"/>
    <w:basedOn w:val="1"/>
    <w:link w:val="37"/>
    <w:qFormat/>
    <w:uiPriority w:val="99"/>
    <w:pPr>
      <w:widowControl/>
      <w:jc w:val="left"/>
    </w:pPr>
    <w:rPr>
      <w:rFonts w:ascii="Times New Roman" w:hAnsi="Times New Roman"/>
      <w:kern w:val="0"/>
      <w:szCs w:val="21"/>
    </w:rPr>
  </w:style>
  <w:style w:type="paragraph" w:styleId="10">
    <w:name w:val="Body Text"/>
    <w:basedOn w:val="1"/>
    <w:link w:val="40"/>
    <w:qFormat/>
    <w:uiPriority w:val="99"/>
    <w:pPr>
      <w:widowControl/>
      <w:overflowPunct w:val="0"/>
      <w:autoSpaceDE w:val="0"/>
      <w:autoSpaceDN w:val="0"/>
      <w:adjustRightInd w:val="0"/>
      <w:spacing w:before="120" w:after="120" w:line="360" w:lineRule="auto"/>
      <w:jc w:val="left"/>
      <w:textAlignment w:val="baseline"/>
    </w:pPr>
    <w:rPr>
      <w:rFonts w:ascii="Times New Roman" w:hAnsi="Times New Roman" w:eastAsia="PMingLiU"/>
      <w:kern w:val="0"/>
      <w:sz w:val="28"/>
      <w:szCs w:val="20"/>
      <w:lang w:eastAsia="zh-TW"/>
    </w:rPr>
  </w:style>
  <w:style w:type="paragraph" w:styleId="11">
    <w:name w:val="toc 5"/>
    <w:basedOn w:val="1"/>
    <w:next w:val="1"/>
    <w:qFormat/>
    <w:uiPriority w:val="99"/>
    <w:pPr>
      <w:ind w:left="840"/>
    </w:pPr>
  </w:style>
  <w:style w:type="paragraph" w:styleId="12">
    <w:name w:val="toc 3"/>
    <w:basedOn w:val="1"/>
    <w:next w:val="1"/>
    <w:qFormat/>
    <w:uiPriority w:val="99"/>
    <w:pPr>
      <w:tabs>
        <w:tab w:val="right" w:leader="dot" w:pos="8296"/>
      </w:tabs>
      <w:ind w:left="840" w:leftChars="400"/>
    </w:pPr>
    <w:rPr>
      <w:rFonts w:ascii="宋体" w:hAnsi="宋体"/>
      <w:sz w:val="24"/>
      <w:szCs w:val="32"/>
    </w:rPr>
  </w:style>
  <w:style w:type="paragraph" w:styleId="13">
    <w:name w:val="toc 8"/>
    <w:basedOn w:val="1"/>
    <w:next w:val="1"/>
    <w:qFormat/>
    <w:uiPriority w:val="99"/>
    <w:pPr>
      <w:ind w:left="1470"/>
    </w:pPr>
  </w:style>
  <w:style w:type="paragraph" w:styleId="14">
    <w:name w:val="Balloon Text"/>
    <w:basedOn w:val="1"/>
    <w:link w:val="41"/>
    <w:semiHidden/>
    <w:qFormat/>
    <w:uiPriority w:val="99"/>
    <w:rPr>
      <w:sz w:val="18"/>
      <w:szCs w:val="18"/>
    </w:rPr>
  </w:style>
  <w:style w:type="paragraph" w:styleId="15">
    <w:name w:val="footer"/>
    <w:basedOn w:val="1"/>
    <w:link w:val="42"/>
    <w:qFormat/>
    <w:uiPriority w:val="99"/>
    <w:pPr>
      <w:tabs>
        <w:tab w:val="center" w:pos="4153"/>
        <w:tab w:val="right" w:pos="8306"/>
      </w:tabs>
      <w:snapToGrid w:val="0"/>
      <w:jc w:val="left"/>
    </w:pPr>
    <w:rPr>
      <w:sz w:val="18"/>
      <w:szCs w:val="18"/>
    </w:rPr>
  </w:style>
  <w:style w:type="paragraph" w:styleId="16">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296"/>
      </w:tabs>
    </w:pPr>
    <w:rPr>
      <w:rFonts w:ascii="仿宋" w:hAnsi="仿宋" w:eastAsia="仿宋"/>
      <w:sz w:val="28"/>
    </w:rPr>
  </w:style>
  <w:style w:type="paragraph" w:styleId="18">
    <w:name w:val="toc 4"/>
    <w:basedOn w:val="1"/>
    <w:next w:val="1"/>
    <w:qFormat/>
    <w:uiPriority w:val="99"/>
    <w:pPr>
      <w:ind w:left="630"/>
    </w:pPr>
  </w:style>
  <w:style w:type="paragraph" w:styleId="19">
    <w:name w:val="footnote text"/>
    <w:basedOn w:val="1"/>
    <w:link w:val="44"/>
    <w:qFormat/>
    <w:uiPriority w:val="99"/>
    <w:pPr>
      <w:snapToGrid w:val="0"/>
      <w:jc w:val="left"/>
    </w:pPr>
    <w:rPr>
      <w:rFonts w:ascii="Times New Roman" w:hAnsi="Times New Roman"/>
      <w:sz w:val="18"/>
      <w:szCs w:val="18"/>
    </w:rPr>
  </w:style>
  <w:style w:type="paragraph" w:styleId="20">
    <w:name w:val="toc 6"/>
    <w:basedOn w:val="1"/>
    <w:next w:val="1"/>
    <w:qFormat/>
    <w:uiPriority w:val="99"/>
    <w:pPr>
      <w:ind w:left="1050"/>
    </w:pPr>
  </w:style>
  <w:style w:type="paragraph" w:styleId="21">
    <w:name w:val="table of figures"/>
    <w:basedOn w:val="1"/>
    <w:next w:val="1"/>
    <w:semiHidden/>
    <w:qFormat/>
    <w:uiPriority w:val="99"/>
    <w:pPr>
      <w:ind w:left="200" w:leftChars="200" w:hanging="200" w:hangingChars="200"/>
    </w:pPr>
  </w:style>
  <w:style w:type="paragraph" w:styleId="22">
    <w:name w:val="toc 2"/>
    <w:basedOn w:val="1"/>
    <w:next w:val="1"/>
    <w:qFormat/>
    <w:uiPriority w:val="39"/>
    <w:pPr>
      <w:tabs>
        <w:tab w:val="right" w:leader="dot" w:pos="8296"/>
      </w:tabs>
      <w:spacing w:line="360" w:lineRule="auto"/>
      <w:ind w:firstLine="661" w:firstLineChars="236"/>
    </w:pPr>
    <w:rPr>
      <w:rFonts w:ascii="仿宋_GB2312" w:hAnsi="仿宋" w:eastAsia="仿宋_GB2312"/>
      <w:sz w:val="28"/>
      <w:szCs w:val="28"/>
    </w:rPr>
  </w:style>
  <w:style w:type="paragraph" w:styleId="23">
    <w:name w:val="toc 9"/>
    <w:basedOn w:val="1"/>
    <w:next w:val="1"/>
    <w:qFormat/>
    <w:uiPriority w:val="99"/>
    <w:pPr>
      <w:ind w:left="1680"/>
    </w:pPr>
  </w:style>
  <w:style w:type="paragraph" w:styleId="24">
    <w:name w:val="Body Text 2"/>
    <w:basedOn w:val="1"/>
    <w:link w:val="45"/>
    <w:semiHidden/>
    <w:qFormat/>
    <w:uiPriority w:val="99"/>
    <w:pPr>
      <w:spacing w:after="120" w:line="480" w:lineRule="auto"/>
    </w:p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9"/>
    <w:next w:val="9"/>
    <w:link w:val="38"/>
    <w:semiHidden/>
    <w:qFormat/>
    <w:uiPriority w:val="99"/>
    <w:pPr>
      <w:widowControl w:val="0"/>
    </w:pPr>
    <w:rPr>
      <w:rFonts w:ascii="Calibri" w:hAnsi="Calibri"/>
      <w:b/>
      <w:bCs/>
      <w:kern w:val="2"/>
      <w:szCs w:val="22"/>
    </w:rPr>
  </w:style>
  <w:style w:type="table" w:styleId="28">
    <w:name w:val="Table Grid"/>
    <w:basedOn w:val="27"/>
    <w:qFormat/>
    <w:uiPriority w:val="99"/>
    <w:pPr>
      <w:jc w:val="both"/>
    </w:pPr>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Strong"/>
    <w:basedOn w:val="29"/>
    <w:qFormat/>
    <w:uiPriority w:val="22"/>
    <w:rPr>
      <w:rFonts w:cs="Times New Roman"/>
      <w:b/>
      <w:bCs/>
    </w:rPr>
  </w:style>
  <w:style w:type="character" w:styleId="31">
    <w:name w:val="Hyperlink"/>
    <w:basedOn w:val="29"/>
    <w:qFormat/>
    <w:uiPriority w:val="99"/>
    <w:rPr>
      <w:rFonts w:cs="Times New Roman"/>
      <w:color w:val="0563C1"/>
      <w:u w:val="single"/>
    </w:rPr>
  </w:style>
  <w:style w:type="character" w:styleId="32">
    <w:name w:val="annotation reference"/>
    <w:basedOn w:val="29"/>
    <w:qFormat/>
    <w:uiPriority w:val="99"/>
    <w:rPr>
      <w:rFonts w:cs="Times New Roman"/>
      <w:sz w:val="21"/>
    </w:rPr>
  </w:style>
  <w:style w:type="character" w:styleId="33">
    <w:name w:val="footnote reference"/>
    <w:basedOn w:val="29"/>
    <w:qFormat/>
    <w:uiPriority w:val="99"/>
    <w:rPr>
      <w:rFonts w:cs="Times New Roman"/>
      <w:vertAlign w:val="superscript"/>
    </w:rPr>
  </w:style>
  <w:style w:type="character" w:customStyle="1" w:styleId="34">
    <w:name w:val="标题 1 字符"/>
    <w:basedOn w:val="29"/>
    <w:link w:val="2"/>
    <w:qFormat/>
    <w:locked/>
    <w:uiPriority w:val="99"/>
    <w:rPr>
      <w:rFonts w:ascii="Calibri" w:hAnsi="Calibri" w:eastAsia="宋体" w:cs="Times New Roman"/>
      <w:b/>
      <w:bCs/>
      <w:kern w:val="44"/>
      <w:sz w:val="44"/>
      <w:szCs w:val="44"/>
    </w:rPr>
  </w:style>
  <w:style w:type="character" w:customStyle="1" w:styleId="35">
    <w:name w:val="标题 2 字符"/>
    <w:basedOn w:val="29"/>
    <w:link w:val="3"/>
    <w:qFormat/>
    <w:locked/>
    <w:uiPriority w:val="99"/>
    <w:rPr>
      <w:rFonts w:ascii="Cambria" w:hAnsi="Cambria" w:eastAsia="宋体" w:cs="Times New Roman"/>
      <w:b/>
      <w:bCs/>
      <w:kern w:val="2"/>
      <w:sz w:val="32"/>
      <w:szCs w:val="32"/>
    </w:rPr>
  </w:style>
  <w:style w:type="character" w:customStyle="1" w:styleId="36">
    <w:name w:val="标题 3 字符"/>
    <w:basedOn w:val="29"/>
    <w:link w:val="4"/>
    <w:semiHidden/>
    <w:qFormat/>
    <w:locked/>
    <w:uiPriority w:val="99"/>
    <w:rPr>
      <w:rFonts w:ascii="Times New Roman" w:hAnsi="Times New Roman" w:cs="Times New Roman"/>
      <w:b/>
      <w:bCs/>
      <w:kern w:val="2"/>
      <w:sz w:val="32"/>
      <w:szCs w:val="32"/>
    </w:rPr>
  </w:style>
  <w:style w:type="character" w:customStyle="1" w:styleId="37">
    <w:name w:val="批注文字 字符"/>
    <w:basedOn w:val="29"/>
    <w:link w:val="9"/>
    <w:qFormat/>
    <w:locked/>
    <w:uiPriority w:val="99"/>
    <w:rPr>
      <w:rFonts w:ascii="Times New Roman" w:hAnsi="Times New Roman" w:cs="Times New Roman"/>
      <w:sz w:val="21"/>
      <w:szCs w:val="21"/>
    </w:rPr>
  </w:style>
  <w:style w:type="character" w:customStyle="1" w:styleId="38">
    <w:name w:val="批注主题 字符"/>
    <w:basedOn w:val="37"/>
    <w:link w:val="26"/>
    <w:semiHidden/>
    <w:qFormat/>
    <w:locked/>
    <w:uiPriority w:val="99"/>
    <w:rPr>
      <w:rFonts w:ascii="Times New Roman" w:hAnsi="Times New Roman" w:cs="Times New Roman"/>
      <w:b/>
      <w:bCs/>
      <w:kern w:val="2"/>
      <w:sz w:val="22"/>
      <w:szCs w:val="22"/>
    </w:rPr>
  </w:style>
  <w:style w:type="character" w:customStyle="1" w:styleId="39">
    <w:name w:val="文档结构图 字符"/>
    <w:basedOn w:val="29"/>
    <w:link w:val="8"/>
    <w:semiHidden/>
    <w:qFormat/>
    <w:locked/>
    <w:uiPriority w:val="99"/>
    <w:rPr>
      <w:rFonts w:ascii="宋体" w:cs="Times New Roman"/>
      <w:kern w:val="2"/>
      <w:sz w:val="18"/>
      <w:szCs w:val="18"/>
    </w:rPr>
  </w:style>
  <w:style w:type="character" w:customStyle="1" w:styleId="40">
    <w:name w:val="正文文本 字符"/>
    <w:basedOn w:val="29"/>
    <w:link w:val="10"/>
    <w:qFormat/>
    <w:locked/>
    <w:uiPriority w:val="99"/>
    <w:rPr>
      <w:rFonts w:ascii="Times New Roman" w:hAnsi="Times New Roman" w:eastAsia="PMingLiU" w:cs="Times New Roman"/>
      <w:sz w:val="28"/>
      <w:lang w:eastAsia="zh-TW"/>
    </w:rPr>
  </w:style>
  <w:style w:type="character" w:customStyle="1" w:styleId="41">
    <w:name w:val="批注框文本 字符"/>
    <w:basedOn w:val="29"/>
    <w:link w:val="14"/>
    <w:semiHidden/>
    <w:qFormat/>
    <w:locked/>
    <w:uiPriority w:val="99"/>
    <w:rPr>
      <w:rFonts w:cs="Times New Roman"/>
      <w:kern w:val="2"/>
      <w:sz w:val="18"/>
    </w:rPr>
  </w:style>
  <w:style w:type="character" w:customStyle="1" w:styleId="42">
    <w:name w:val="页脚 字符"/>
    <w:basedOn w:val="29"/>
    <w:link w:val="15"/>
    <w:qFormat/>
    <w:locked/>
    <w:uiPriority w:val="99"/>
    <w:rPr>
      <w:rFonts w:cs="Times New Roman"/>
      <w:kern w:val="2"/>
      <w:sz w:val="18"/>
    </w:rPr>
  </w:style>
  <w:style w:type="character" w:customStyle="1" w:styleId="43">
    <w:name w:val="页眉 字符"/>
    <w:basedOn w:val="29"/>
    <w:link w:val="16"/>
    <w:qFormat/>
    <w:locked/>
    <w:uiPriority w:val="99"/>
    <w:rPr>
      <w:rFonts w:cs="Times New Roman"/>
      <w:kern w:val="2"/>
      <w:sz w:val="18"/>
    </w:rPr>
  </w:style>
  <w:style w:type="character" w:customStyle="1" w:styleId="44">
    <w:name w:val="脚注文本 字符"/>
    <w:basedOn w:val="29"/>
    <w:link w:val="19"/>
    <w:qFormat/>
    <w:locked/>
    <w:uiPriority w:val="99"/>
    <w:rPr>
      <w:rFonts w:ascii="Times New Roman" w:hAnsi="Times New Roman" w:cs="Times New Roman"/>
      <w:kern w:val="2"/>
      <w:sz w:val="18"/>
      <w:szCs w:val="18"/>
    </w:rPr>
  </w:style>
  <w:style w:type="character" w:customStyle="1" w:styleId="45">
    <w:name w:val="正文文本 2 字符"/>
    <w:basedOn w:val="29"/>
    <w:link w:val="24"/>
    <w:semiHidden/>
    <w:qFormat/>
    <w:locked/>
    <w:uiPriority w:val="99"/>
    <w:rPr>
      <w:rFonts w:cs="Times New Roman"/>
      <w:kern w:val="2"/>
      <w:sz w:val="22"/>
      <w:szCs w:val="22"/>
    </w:rPr>
  </w:style>
  <w:style w:type="paragraph" w:styleId="46">
    <w:name w:val="List Paragraph"/>
    <w:basedOn w:val="1"/>
    <w:link w:val="47"/>
    <w:qFormat/>
    <w:uiPriority w:val="99"/>
    <w:pPr>
      <w:widowControl/>
      <w:spacing w:before="100" w:beforeAutospacing="1" w:after="100" w:afterAutospacing="1"/>
      <w:ind w:firstLine="420" w:firstLineChars="200"/>
      <w:jc w:val="left"/>
    </w:pPr>
    <w:rPr>
      <w:rFonts w:ascii="宋体" w:hAnsi="宋体" w:cs="宋体"/>
      <w:kern w:val="0"/>
      <w:sz w:val="24"/>
      <w:szCs w:val="24"/>
    </w:rPr>
  </w:style>
  <w:style w:type="character" w:customStyle="1" w:styleId="47">
    <w:name w:val="列表段落 字符"/>
    <w:basedOn w:val="29"/>
    <w:link w:val="46"/>
    <w:qFormat/>
    <w:locked/>
    <w:uiPriority w:val="99"/>
    <w:rPr>
      <w:rFonts w:ascii="宋体" w:eastAsia="宋体" w:cs="宋体"/>
      <w:sz w:val="24"/>
      <w:szCs w:val="24"/>
    </w:rPr>
  </w:style>
  <w:style w:type="character" w:customStyle="1" w:styleId="48">
    <w:name w:val="正文缩进 字符"/>
    <w:basedOn w:val="29"/>
    <w:link w:val="6"/>
    <w:semiHidden/>
    <w:qFormat/>
    <w:locked/>
    <w:uiPriority w:val="99"/>
    <w:rPr>
      <w:rFonts w:cs="Times New Roman"/>
      <w:sz w:val="24"/>
      <w:szCs w:val="24"/>
    </w:rPr>
  </w:style>
  <w:style w:type="character" w:customStyle="1" w:styleId="49">
    <w:name w:val="apple-converted-space"/>
    <w:basedOn w:val="29"/>
    <w:qFormat/>
    <w:uiPriority w:val="99"/>
    <w:rPr>
      <w:rFonts w:cs="Times New Roman"/>
    </w:rPr>
  </w:style>
  <w:style w:type="paragraph" w:customStyle="1" w:styleId="50">
    <w:name w:val="Default"/>
    <w:qFormat/>
    <w:uiPriority w:val="99"/>
    <w:pPr>
      <w:widowControl w:val="0"/>
      <w:autoSpaceDE w:val="0"/>
      <w:autoSpaceDN w:val="0"/>
      <w:adjustRightInd w:val="0"/>
      <w:spacing w:after="160" w:line="259" w:lineRule="auto"/>
    </w:pPr>
    <w:rPr>
      <w:rFonts w:ascii="宋体" w:hAnsi="Calibri" w:eastAsia="宋体" w:cs="宋体"/>
      <w:color w:val="000000"/>
      <w:kern w:val="0"/>
      <w:sz w:val="24"/>
      <w:szCs w:val="24"/>
      <w:lang w:val="en-US" w:eastAsia="zh-CN" w:bidi="ar-SA"/>
    </w:rPr>
  </w:style>
  <w:style w:type="paragraph" w:customStyle="1" w:styleId="51">
    <w:name w:val="Char Char1 Char Char Char Char Char Char Char Char Char Char Char Char Char Char Char Char"/>
    <w:basedOn w:val="1"/>
    <w:qFormat/>
    <w:uiPriority w:val="99"/>
    <w:rPr>
      <w:rFonts w:ascii="Arial" w:hAnsi="Arial" w:cs="Arial"/>
      <w:sz w:val="20"/>
      <w:szCs w:val="20"/>
    </w:rPr>
  </w:style>
  <w:style w:type="paragraph" w:customStyle="1" w:styleId="52">
    <w:name w:val="body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3">
    <w:name w:val="TOC 标题1"/>
    <w:basedOn w:val="2"/>
    <w:next w:val="1"/>
    <w:qFormat/>
    <w:uiPriority w:val="99"/>
    <w:pPr>
      <w:widowControl/>
      <w:spacing w:before="240" w:after="0" w:line="259" w:lineRule="auto"/>
      <w:jc w:val="left"/>
      <w:outlineLvl w:val="9"/>
    </w:pPr>
    <w:rPr>
      <w:rFonts w:ascii="Cambria" w:hAnsi="Cambria"/>
      <w:b w:val="0"/>
      <w:bCs w:val="0"/>
      <w:color w:val="365F91"/>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FB36E4-9ED3-4950-ABFA-DBB103C368A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1611</Words>
  <Characters>9185</Characters>
  <Lines>76</Lines>
  <Paragraphs>21</Paragraphs>
  <TotalTime>0</TotalTime>
  <ScaleCrop>false</ScaleCrop>
  <LinksUpToDate>false</LinksUpToDate>
  <CharactersWithSpaces>10775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2021-07-06T12:14:00Z</dcterms:created>
  <dc:creator>王坤</dc:creator>
  <cp:lastModifiedBy>盐巴</cp:lastModifiedBy>
  <cp:lastPrinted>2021-07-06T12:30:00Z</cp:lastPrinted>
  <dcterms:modified xsi:type="dcterms:W3CDTF">2022-01-07T09:26:07Z</dcterms:modified>
  <dc:title> </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18976B56BE2344EDB2796CE281654A7F</vt:lpwstr>
  </property>
</Properties>
</file>